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OCHeading"/>
        <w:spacing w:before="240" w:after="0"/>
        <w:rPr>
          <w:rFonts w:ascii="Calibri" w:hAnsi="Calibri" w:eastAsia="Calibri" w:cs="" w:asciiTheme="minorHAnsi" w:cstheme="minorBidi" w:eastAsiaTheme="minorHAnsi" w:hAnsiTheme="minorHAnsi"/>
          <w:color w:themeColor="accent1" w:themeShade="bf" w:val="auto"/>
          <w:kern w:val="2"/>
          <w:sz w:val="24"/>
          <w:szCs w:val="24"/>
          <w:lang w:eastAsia="en-US"/>
          <w14:ligatures w14:val="standardContextual"/>
        </w:rPr>
      </w:pPr>
      <w:r>
        <w:rPr>
          <w:rFonts w:eastAsia="Calibri" w:cs="" w:cstheme="minorBidi" w:eastAsiaTheme="minorHAnsi" w:ascii="Calibri" w:hAnsi="Calibri"/>
          <w:color w:themeColor="accent1" w:themeShade="bf" w:val="auto"/>
          <w:kern w:val="2"/>
          <w:sz w:val="24"/>
          <w:szCs w:val="24"/>
          <w:lang w:eastAsia="en-US"/>
          <w14:ligatures w14:val="standardContextual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36"/>
          <w:szCs w:val="36"/>
        </w:rPr>
      </w:pPr>
      <w:r>
        <w:rPr>
          <w:sz w:val="52"/>
          <w:szCs w:val="52"/>
        </w:rPr>
        <w:t>MEMORIAL DESCRITIVO DO OBJETO</w:t>
        <w:br/>
        <w:t xml:space="preserve">CSU DURVAL NICOLAU – IMPLANTAÇÃO DE QUADRA, VESTÁRIOS E GUARITAS </w:t>
      </w:r>
      <w:r>
        <w:rPr>
          <w:sz w:val="36"/>
          <w:szCs w:val="36"/>
        </w:rPr>
        <w:t>(PARTE INTEGRANTE DO TERMO DE REFERÊNCIA)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Normal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36"/>
              <w:szCs w:val="36"/>
            </w:rPr>
            <w:t>Sumário</w:t>
          </w:r>
        </w:p>
        <w:p>
          <w:pPr>
            <w:pStyle w:val="Normal"/>
            <w:rPr>
              <w:lang w:eastAsia="pt-BR"/>
            </w:rPr>
          </w:pPr>
          <w:r>
            <w:rPr>
              <w:lang w:eastAsia="pt-BR"/>
            </w:rPr>
          </w:r>
        </w:p>
        <w:p>
          <w:pPr>
            <w:pStyle w:val="TOC1"/>
            <w:tabs>
              <w:tab w:val="clear" w:pos="708"/>
              <w:tab w:val="left" w:pos="480" w:leader="none"/>
              <w:tab w:val="right" w:pos="8494" w:leader="dot"/>
            </w:tabs>
            <w:rPr>
              <w:rStyle w:val="Hyperlink"/>
            </w:rPr>
          </w:pPr>
          <w:r>
            <w:fldChar w:fldCharType="begin"/>
          </w:r>
          <w:r>
            <w:rPr>
              <w:webHidden/>
              <w:rStyle w:val="Vnculodendice"/>
              <w:b/>
              <w:bCs/>
              <w:vanish w:val="false"/>
              <w:rFonts w:cs="Calibri"/>
            </w:rPr>
            <w:instrText xml:space="preserve"> TOC \z \o "1-3" \u \h</w:instrText>
          </w:r>
          <w:r>
            <w:rPr>
              <w:webHidden/>
              <w:rStyle w:val="Vnculodendice"/>
              <w:b/>
              <w:bCs/>
              <w:vanish w:val="false"/>
              <w:rFonts w:cs="Calibri"/>
            </w:rPr>
            <w:fldChar w:fldCharType="separate"/>
          </w:r>
          <w:hyperlink w:anchor="_Toc21124518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1)</w:t>
            </w:r>
            <w:r>
              <w:rPr>
                <w:rStyle w:val="Vnculodendice"/>
                <w:rFonts w:eastAsia="" w:eastAsiaTheme="minorEastAsia"/>
                <w:lang w:eastAsia="pt-BR"/>
              </w:rPr>
              <w:tab/>
            </w:r>
            <w:r>
              <w:rPr>
                <w:rStyle w:val="Vnculodendice"/>
                <w:rFonts w:cs="Calibri" w:cstheme="minorHAnsi"/>
                <w:b/>
                <w:bCs/>
              </w:rPr>
              <w:t>SERVIÇOS PRELIMINARES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_Toc211245185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2"/>
            <w:tabs>
              <w:tab w:val="clear" w:pos="708"/>
              <w:tab w:val="right" w:pos="8494" w:leader="dot"/>
            </w:tabs>
            <w:rPr/>
          </w:pPr>
          <w:hyperlink w:anchor="_Toc21124518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1.1) PROJETOS EXECUTIVOS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_Toc211245186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left" w:pos="480" w:leader="none"/>
              <w:tab w:val="right" w:pos="8494" w:leader="dot"/>
            </w:tabs>
            <w:rPr/>
          </w:pPr>
          <w:hyperlink w:anchor="_Toc21124518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2)</w:t>
            </w:r>
            <w:r>
              <w:rPr>
                <w:rStyle w:val="Vnculodendice"/>
                <w:rFonts w:eastAsia="" w:eastAsiaTheme="minorEastAsia"/>
                <w:lang w:eastAsia="pt-BR"/>
              </w:rPr>
              <w:tab/>
            </w:r>
            <w:r>
              <w:rPr>
                <w:rStyle w:val="Vnculodendice"/>
                <w:rFonts w:cs="Calibri" w:cstheme="minorHAnsi"/>
                <w:b/>
                <w:bCs/>
              </w:rPr>
              <w:t>ADMINISTRAÇÃO LOCAL DA OBRA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_Toc211245187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8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2.1) CANTEIRO DE OBRAS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_Toc211245188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/>
          </w:pPr>
          <w:hyperlink w:anchor="_Toc21124518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2.2) EQUIPE TÉCNICA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_Toc211245189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left" w:pos="480" w:leader="none"/>
              <w:tab w:val="right" w:pos="8494" w:leader="dot"/>
            </w:tabs>
            <w:rPr/>
          </w:pPr>
          <w:hyperlink w:anchor="_Toc21124519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3)</w:t>
            </w:r>
            <w:r>
              <w:rPr>
                <w:rStyle w:val="Vnculodendice"/>
                <w:rFonts w:eastAsia="" w:eastAsiaTheme="minorEastAsia"/>
                <w:lang w:eastAsia="pt-BR"/>
              </w:rPr>
              <w:tab/>
            </w:r>
            <w:r>
              <w:rPr>
                <w:rStyle w:val="Vnculodendice"/>
                <w:rFonts w:cs="Calibri" w:cstheme="minorHAnsi"/>
                <w:b/>
                <w:bCs/>
              </w:rPr>
              <w:t>IMPLANTAÇÃO GERAL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3.1) INSTALAÇÕES ELÉTRICAS GERAIS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3.2) PAVIMENTAÇÃO EXTERNA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3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3.3) ESTACIONAMENTO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4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3.4) GUARITA DE ACESSO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a) SERVIÇOS PRELIMINARES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b) ELEMENTOS DE VEDAÇÃO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c) REVESTIMENTOS INTERNOS E EXTERNOS - PAREDES, VIGAS E PILARES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d) REVESTIMENTOS INTERNOS - PISOS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19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e) ESQUADRIAS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_Toc211245199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f) PINTURAS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33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g) INSTALAÇÕES ELÉTRICAS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h) SISTEMA DE PROTEÇÃO CONTRA INCÊNDIO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37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/>
          </w:pPr>
          <w:hyperlink w:anchor="_Toc211245203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i) SERVIÇOS COMPLEMENTARES E FINAIS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39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left" w:pos="480" w:leader="none"/>
              <w:tab w:val="right" w:pos="8494" w:leader="dot"/>
            </w:tabs>
            <w:rPr/>
          </w:pPr>
          <w:hyperlink w:anchor="_Toc211245204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4)</w:t>
            </w:r>
            <w:r>
              <w:rPr>
                <w:rStyle w:val="Vnculodendice"/>
                <w:rFonts w:eastAsia="" w:eastAsiaTheme="minorEastAsia"/>
                <w:lang w:eastAsia="pt-BR"/>
              </w:rPr>
              <w:tab/>
            </w:r>
            <w:r>
              <w:rPr>
                <w:rStyle w:val="Vnculodendice"/>
                <w:rFonts w:cs="Calibri" w:cstheme="minorHAnsi"/>
                <w:b/>
                <w:bCs/>
              </w:rPr>
              <w:t>QUADRA POLIESPORTIVA COBERTA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4.1) SERVIÇOS PRELIMINARES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4.2) SERVIÇOS EM TERRA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4.3) FUNDAÇÕES – BLOCOS E ESTACAS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4.4) FUNDAÇÕES – VIGAS BALDRAME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0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4.5) SUPERESTRUTURA – PILARES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_Toc211245209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4.6) SUPERESTRUTURA – VIGAS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4.7) SUPERESTRUTURA – LAJES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4.8) SUPERESTRUTURA – PISOS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3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4.9) SUPERESTRUTURA – ESTRUTURA METÁLICA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4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4.10) SUPERESTRUTURA – COBERTURA, TELHAS E FECHAMENTOS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4.11) ELEMENTOS DE VEDAÇÃO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4.12) IMPERMEABILIZAÇÕES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4.13) REVESTIMENTOS INTERNOS E EXTERNOS - PAREDES, VIGAS E PILARES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4.14) REVESTIMENTOS INTERNOS - PISOS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1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4.15) ESQUADRIAS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_Toc211245219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4.16) PINTURAS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4.17) INSTALAÇÕES HIDRÁULICAS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4.18) INSTALAÇÕES SANITÁRIAS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3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4.19) COMPLEMENTOS HIDROSSANITÁRIOS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4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4.20) COLETA E DRENAGEM DE ÁGUAS PLUVIAIS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71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4.21) SISTEMA DE PROTEÇÃO CONTRA INCÊNDIO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73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4.22) INSTALAÇÕES ELÉTRICAS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75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4.23) SISTEMA DE PROTEÇÃO CONTRA DESCARGAS ATMOSFÉRICAS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78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2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4.24) COMPLEMENTOS – QUADRA POLIESPORTIVA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/>
          </w:pPr>
          <w:hyperlink w:anchor="_Toc21124522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4.25) SERVIÇOS COMPLEMENTARES E FINAIS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_Toc211245229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left" w:pos="480" w:leader="none"/>
              <w:tab w:val="right" w:pos="8494" w:leader="dot"/>
            </w:tabs>
            <w:rPr/>
          </w:pPr>
          <w:hyperlink w:anchor="_Toc21124523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5)</w:t>
            </w:r>
            <w:r>
              <w:rPr>
                <w:rStyle w:val="Vnculodendice"/>
                <w:rFonts w:eastAsia="" w:eastAsiaTheme="minorEastAsia"/>
                <w:lang w:eastAsia="pt-BR"/>
              </w:rPr>
              <w:tab/>
            </w:r>
            <w:r>
              <w:rPr>
                <w:rStyle w:val="Vnculodendice"/>
                <w:rFonts w:cs="Calibri" w:cstheme="minorHAnsi"/>
                <w:b/>
                <w:bCs/>
              </w:rPr>
              <w:t>EDIFICAÇÕES PISCINA (VESTIÁRIO E GUARITA/DEPÓSITO)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5.1) SERVIÇOS PRELIMINARES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5.2) SERVIÇOS EM TERRA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3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5.3) FUNDAÇÕES – BLOCOS E ESTACAS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4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5.4) FUNDAÇÕES – VIGAS BALDRAME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5.5) SUPERESTRUTURA – PILARES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5.6) SUPERESTRUTURA – VIGAS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89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5.7) SUPERESTRUTURA – PISOS E LAJES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5.8) SUPERESTRUTURA – COBERTURA, TELHAS E FECHAMENTOS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3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5.9) ELEMENTOS DE VEDAÇÃO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_Toc211245239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5.10) IMPERMEABILIZAÇÕES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5.11) REVESTIMENTOS INTERNOS E EXTERNOS - PAREDES, VIGAS E PILARES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5.12) REVESTIMENTOS INTERNOS - PISOS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3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5.13) ESQUADRIAS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99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4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5.14) PINTURAS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102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5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5.15) INSTALAÇÕES HIDRÁULICAS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103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6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5.16) INSTALAÇÕES SANITÁRIAS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105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7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5.17) COMPLEMENTOS HIDROSSANITÁRIOS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107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8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5.18) COLETA E DRENAGEM DE ÁGUAS PLUVIAIS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109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49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5.19) INSTALAÇÕES ELÉTRICAS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_Toc211245249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50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5.20) SISTEMA DE PROTEÇÃO CONTRA INCÊNDIO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_Toc211245250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8494" w:leader="dot"/>
            </w:tabs>
            <w:rPr/>
          </w:pPr>
          <w:hyperlink w:anchor="_Toc211245251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5.21) SERVIÇOS COMPLEMENTARES E FINAIS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_Toc211245251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left" w:pos="480" w:leader="none"/>
              <w:tab w:val="right" w:pos="8494" w:leader="dot"/>
            </w:tabs>
            <w:rPr>
              <w:rFonts w:eastAsia="" w:eastAsiaTheme="minorEastAsia"/>
              <w:lang w:eastAsia="pt-BR"/>
            </w:rPr>
          </w:pPr>
          <w:hyperlink w:anchor="_Toc211245252">
            <w:r>
              <w:rPr>
                <w:webHidden/>
                <w:rStyle w:val="Vnculodendice"/>
                <w:rFonts w:cs="Calibri" w:cstheme="minorHAnsi"/>
                <w:b/>
                <w:bCs/>
                <w:vanish w:val="false"/>
              </w:rPr>
              <w:t>6)</w:t>
            </w:r>
            <w:r>
              <w:rPr>
                <w:rStyle w:val="Vnculodendice"/>
                <w:rFonts w:eastAsia="" w:eastAsiaTheme="minorEastAsia"/>
                <w:lang w:eastAsia="pt-BR"/>
              </w:rPr>
              <w:tab/>
            </w:r>
            <w:r>
              <w:rPr>
                <w:rStyle w:val="Vnculodendice"/>
                <w:rFonts w:cs="Calibri" w:cstheme="minorHAnsi"/>
                <w:b/>
                <w:bCs/>
              </w:rPr>
              <w:t>CONSIDERAÇÕES FINAIS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_Toc211245252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117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ormal"/>
        <w:rPr/>
      </w:pPr>
      <w:r>
        <w:rPr/>
      </w:r>
      <w:r>
        <w:br w:type="page"/>
      </w:r>
    </w:p>
    <w:p>
      <w:pPr>
        <w:pStyle w:val="ListParagraph"/>
        <w:numPr>
          <w:ilvl w:val="0"/>
          <w:numId w:val="10"/>
        </w:numPr>
        <w:spacing w:lineRule="auto" w:line="360" w:before="0" w:after="0"/>
        <w:contextualSpacing/>
        <w:rPr>
          <w:rFonts w:eastAsia="" w:cs="Calibri" w:cstheme="minorHAnsi" w:eastAsiaTheme="majorEastAsia"/>
          <w:b/>
          <w:bCs/>
        </w:rPr>
      </w:pPr>
      <w:bookmarkStart w:id="0" w:name="_Toc211245185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t>SERVIÇOS PRELIMINARES</w:t>
      </w:r>
      <w:bookmarkEnd w:id="0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br/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" w:name="_Toc21124518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1.1) PROJETOS EXECUTIVOS</w:t>
      </w:r>
      <w:bookmarkEnd w:id="1"/>
    </w:p>
    <w:p>
      <w:pPr>
        <w:pStyle w:val="ListParagraph"/>
        <w:spacing w:lineRule="auto" w:line="360" w:before="0" w:after="0"/>
        <w:contextualSpacing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 xml:space="preserve">A empresa contratada, a partir da implantação e do projeto básico fornecido pela Administração, deverá elaborar e entregar os </w:t>
      </w:r>
      <w:r>
        <w:rPr>
          <w:rFonts w:cs="Calibri" w:cstheme="minorHAnsi"/>
          <w:b/>
          <w:bCs/>
        </w:rPr>
        <w:t>Projetos Executivos Completos</w:t>
      </w:r>
      <w:r>
        <w:rPr>
          <w:rFonts w:cs="Calibri" w:cstheme="minorHAnsi"/>
        </w:rPr>
        <w:t>, indispensáveis à execução da obra, observando rigorosamente as normas técnicas vigentes da ABNT, legislações municipais, estaduais e federais, bem como diretrizes das concessionárias locais e demais órgãos competentes.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 xml:space="preserve">Os projetos deverão ser entregues em </w:t>
      </w:r>
      <w:r>
        <w:rPr>
          <w:rFonts w:cs="Calibri" w:cstheme="minorHAnsi"/>
          <w:b/>
          <w:bCs/>
        </w:rPr>
        <w:t>duas etapas (momentos distintos)</w:t>
      </w:r>
      <w:r>
        <w:rPr>
          <w:rFonts w:cs="Calibri" w:cstheme="minorHAnsi"/>
        </w:rPr>
        <w:t>, conforme descrito a seguir: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  <w:t>1º Momento – Levantamentos e Arquitetura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>A contratada deverá apresentar: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Levantamento planialtimétrico e cadastral</w:t>
      </w:r>
      <w:r>
        <w:rPr>
          <w:rFonts w:cs="Calibri" w:cstheme="minorHAnsi"/>
        </w:rPr>
        <w:t xml:space="preserve"> atualizado da área de intervenção, em escala adequada, contendo curvas de nível, edificações, muros, redes, pavimentações, árvores e demais elementos existentes, devidamente georreferenciados.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Sondagens do solo</w:t>
      </w:r>
      <w:r>
        <w:rPr>
          <w:rFonts w:cs="Calibri" w:cstheme="minorHAnsi"/>
        </w:rPr>
        <w:t>, conforme NBR 6484 e demais normas aplicáveis, acompanhadas de laudo técnico e ART com parâmetros de resistência, estratigrafia e nível de lençol freático.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Projeto Executivo de Arquitetura</w:t>
      </w:r>
      <w:r>
        <w:rPr>
          <w:rFonts w:cs="Calibri" w:cstheme="minorHAnsi"/>
        </w:rPr>
        <w:t>, abrangendo:</w:t>
      </w:r>
    </w:p>
    <w:p>
      <w:pPr>
        <w:pStyle w:val="ListParagraph"/>
        <w:spacing w:lineRule="auto" w:line="360" w:before="0" w:after="0"/>
        <w:ind w:left="1080"/>
        <w:contextualSpacing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3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>Projeto arquitetônico e de urbanismo: conjunto de plantas, cortes, fachadas, cobertura e detalhes necessários para o detalhamento executivo das edificações, a partir das soluções estabelecidas no Projeto Básico fornecido pela Administração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>Atender normas de acessibilidade, segurança, ventilação e iluminação natural;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Memorial descritivo executivo, contendo as soluções arquitetônicas, as especificações de forma clara dos materiais e dos acabamentos, as descrições detalhadas dos procedimentos para a execução dos serviços abrangendo as boas práticas recomendadas e de acordo com o que preconiza as NBRs vigentes;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  <w:t xml:space="preserve">1.2) </w:t>
      </w:r>
      <w:r>
        <w:rPr>
          <w:rFonts w:cs="Calibri" w:cstheme="minorHAnsi"/>
          <w:b/>
          <w:bCs/>
        </w:rPr>
        <w:t>Critérios de aceitação dos projetos (Levantamentos e Arquitetura):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>Entrega em arquivos digitais editáveis (DWG/Revit ou equivalente) e em formato PDF;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>Memorial descritivo contendo os procedimentos para a execução de cada etapa da obra baseado nas NBRs vigentes e nas boas práticas da construção;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>Memorial descritivo de acabamentos com fotos e descrição dos acabamentos e elementos que serão utilizados na obra;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>Compatibilidade entre levantamento cadastral, sondagens e propostas arquitetônicas.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Quaisquer informações adicionais que venham a ser solicitadas pela Administração deverão ser prestadas pela contratada no prazo máximo de 5 (cinco) dias úteis.</w:t>
        <w:br/>
        <w:t>A análise e aprovação dos projetos apresentados pela contratada pela Administração ocorrerá em até 15 (quinze) dias corridos, observando checklist técnico previamente definido em edital, de forma a garantir critérios objetivos de aceitação.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  <w:t>2º Momento – Projetos Executivos Complementares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>Após a aprovação do projeto de arquitetura, a contratada deverá apresentar os projetos executivos das demais disciplinas: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u w:val="single"/>
        </w:rPr>
      </w:pPr>
      <w:r>
        <w:rPr>
          <w:rFonts w:cs="Calibri" w:cstheme="minorHAnsi"/>
          <w:b/>
          <w:bCs/>
          <w:u w:val="single"/>
        </w:rPr>
        <w:t>Estrutural (concreto e aço):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  <w:u w:val="single"/>
        </w:rPr>
        <w:t xml:space="preserve">Estruturas de Concreto Armado: </w:t>
      </w:r>
      <w:r>
        <w:rPr>
          <w:rFonts w:cs="Calibri" w:cstheme="minorHAnsi"/>
        </w:rPr>
        <w:t>O projeto executivo deverá contemplar todas as plantas, cortes e elevações da fundação e da superestrutura, incluindo: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0"/>
          <w:numId w:val="5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Fundações</w:t>
      </w:r>
      <w:r>
        <w:rPr>
          <w:rFonts w:cs="Calibri" w:cstheme="minorHAnsi"/>
        </w:rPr>
        <w:t>: detalhamento de estacas, blocos, sapatas e vigas de fundação;</w:t>
      </w:r>
    </w:p>
    <w:p>
      <w:pPr>
        <w:pStyle w:val="Normal"/>
        <w:numPr>
          <w:ilvl w:val="0"/>
          <w:numId w:val="5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Estrutura</w:t>
      </w:r>
      <w:r>
        <w:rPr>
          <w:rFonts w:cs="Calibri" w:cstheme="minorHAnsi"/>
        </w:rPr>
        <w:t>: detalhamento de pilares, vigas e lajes, com dimensões, volumes de concreto e armações de aço;</w:t>
      </w:r>
    </w:p>
    <w:p>
      <w:pPr>
        <w:pStyle w:val="Normal"/>
        <w:numPr>
          <w:ilvl w:val="0"/>
          <w:numId w:val="5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Detalhes construtivos</w:t>
      </w:r>
      <w:r>
        <w:rPr>
          <w:rFonts w:cs="Calibri" w:cstheme="minorHAnsi"/>
        </w:rPr>
        <w:t>: conexões, emendas, ancoragens e juntas;</w:t>
      </w:r>
    </w:p>
    <w:p>
      <w:pPr>
        <w:pStyle w:val="Normal"/>
        <w:numPr>
          <w:ilvl w:val="0"/>
          <w:numId w:val="5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 xml:space="preserve">Memorial de cálculo </w:t>
      </w:r>
      <w:r>
        <w:rPr>
          <w:rFonts w:cs="Calibri" w:cstheme="minorHAnsi"/>
        </w:rPr>
        <w:t>com as premissas e dimensionamento de todos os elementos;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Memorial descritivo executivo</w:t>
      </w:r>
      <w:r>
        <w:rPr>
          <w:rFonts w:cs="Calibri" w:cstheme="minorHAnsi"/>
        </w:rPr>
        <w:t>, apresentando:</w:t>
      </w:r>
    </w:p>
    <w:p>
      <w:pPr>
        <w:pStyle w:val="Normal"/>
        <w:numPr>
          <w:ilvl w:val="1"/>
          <w:numId w:val="5"/>
        </w:numPr>
        <w:spacing w:lineRule="auto" w:line="360" w:before="0" w:after="0"/>
        <w:rPr/>
      </w:pPr>
      <w:r>
        <w:rPr>
          <w:rFonts w:cs="Calibri" w:cstheme="minorHAnsi"/>
        </w:rPr>
        <w:t>As soluções estruturais adotadas;</w:t>
      </w:r>
    </w:p>
    <w:p>
      <w:pPr>
        <w:pStyle w:val="Normal"/>
        <w:numPr>
          <w:ilvl w:val="1"/>
          <w:numId w:val="5"/>
        </w:numPr>
        <w:spacing w:lineRule="auto" w:line="360" w:before="0" w:after="0"/>
        <w:rPr/>
      </w:pPr>
      <w:r>
        <w:rPr>
          <w:rFonts w:cs="Calibri" w:cstheme="minorHAnsi"/>
        </w:rPr>
        <w:t>Especificações claras dos materiais a serem empregados;</w:t>
      </w:r>
    </w:p>
    <w:p>
      <w:pPr>
        <w:pStyle w:val="Normal"/>
        <w:numPr>
          <w:ilvl w:val="1"/>
          <w:numId w:val="5"/>
        </w:numPr>
        <w:spacing w:lineRule="auto" w:line="360" w:before="0" w:after="0"/>
        <w:rPr/>
      </w:pPr>
      <w:r>
        <w:rPr>
          <w:rFonts w:cs="Calibri" w:cstheme="minorHAnsi"/>
        </w:rPr>
        <w:t>Procedimentos recomendados para a execução dos serviços;</w:t>
      </w:r>
    </w:p>
    <w:p>
      <w:pPr>
        <w:pStyle w:val="Normal"/>
        <w:numPr>
          <w:ilvl w:val="1"/>
          <w:numId w:val="5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Observância das boas práticas de engenharia, em conformidade com as normas da ABNT (NBRs vigentes).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numPr>
          <w:ilvl w:val="0"/>
          <w:numId w:val="4"/>
        </w:numPr>
        <w:spacing w:lineRule="auto" w:line="360" w:before="0" w:after="0"/>
        <w:rPr>
          <w:rFonts w:cs="Calibri" w:cstheme="minorHAnsi"/>
        </w:rPr>
      </w:pPr>
      <w:r>
        <w:rPr>
          <w:rFonts w:eastAsia="Calibri" w:cs="Calibri" w:cstheme="minorHAnsi"/>
          <w:b/>
          <w:bCs/>
          <w:color w:val="auto"/>
          <w:kern w:val="2"/>
          <w:sz w:val="24"/>
          <w:szCs w:val="24"/>
          <w:u w:val="single"/>
          <w:lang w:val="pt-BR" w:eastAsia="en-US" w:bidi="ar-SA"/>
        </w:rPr>
        <w:t>Estruturas Metálicas:</w:t>
      </w:r>
      <w:r>
        <w:rPr>
          <w:rFonts w:cs="Calibri" w:cstheme="minorHAnsi"/>
        </w:rPr>
        <w:t xml:space="preserve"> O projeto executivo deverá contemplar todas as plantas, cortes e elevações da estrutura metálica, incluindo: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0"/>
          <w:numId w:val="6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Perfis metálicos</w:t>
      </w:r>
      <w:r>
        <w:rPr>
          <w:rFonts w:cs="Calibri" w:cstheme="minorHAnsi"/>
        </w:rPr>
        <w:t>: especificação completa dos perfis a serem utilizados, com dimensões e características mecânicas;</w:t>
      </w:r>
    </w:p>
    <w:p>
      <w:pPr>
        <w:pStyle w:val="Normal"/>
        <w:numPr>
          <w:ilvl w:val="0"/>
          <w:numId w:val="6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Ligações metálicas</w:t>
      </w:r>
      <w:r>
        <w:rPr>
          <w:rFonts w:cs="Calibri" w:cstheme="minorHAnsi"/>
        </w:rPr>
        <w:t>: detalhamento de soldas, parafusos, chapas de ligação e demais elementos de fixação;</w:t>
      </w:r>
    </w:p>
    <w:p>
      <w:pPr>
        <w:pStyle w:val="Normal"/>
        <w:numPr>
          <w:ilvl w:val="0"/>
          <w:numId w:val="6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Detalhes construtivos</w:t>
      </w:r>
      <w:r>
        <w:rPr>
          <w:rFonts w:cs="Calibri" w:cstheme="minorHAnsi"/>
        </w:rPr>
        <w:t>: nós, emendas, apoios e pontos de ancoragem;</w:t>
      </w:r>
    </w:p>
    <w:p>
      <w:pPr>
        <w:pStyle w:val="Normal"/>
        <w:numPr>
          <w:ilvl w:val="0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Memorial de cálculo </w:t>
      </w:r>
      <w:r>
        <w:rPr>
          <w:rFonts w:cs="Calibri" w:cstheme="minorHAnsi"/>
        </w:rPr>
        <w:t>com as premissas e dimensionamento de todos os elementos;</w:t>
      </w:r>
    </w:p>
    <w:p>
      <w:pPr>
        <w:pStyle w:val="Normal"/>
        <w:numPr>
          <w:ilvl w:val="0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Memorial descritivo executivo</w:t>
      </w:r>
      <w:r>
        <w:rPr>
          <w:rFonts w:cs="Calibri" w:cstheme="minorHAnsi"/>
        </w:rPr>
        <w:t>, apresentando:</w:t>
      </w:r>
    </w:p>
    <w:p>
      <w:pPr>
        <w:pStyle w:val="Normal"/>
        <w:numPr>
          <w:ilvl w:val="1"/>
          <w:numId w:val="6"/>
        </w:numPr>
        <w:spacing w:lineRule="auto" w:line="360" w:before="0" w:after="0"/>
        <w:rPr/>
      </w:pPr>
      <w:r>
        <w:rPr>
          <w:rFonts w:cs="Calibri" w:cstheme="minorHAnsi"/>
        </w:rPr>
        <w:t>As soluções estruturais adotadas;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/>
      </w:pPr>
      <w:r>
        <w:rPr>
          <w:rFonts w:cs="Calibri" w:cstheme="minorHAnsi"/>
        </w:rPr>
        <w:t>Especificações claras dos materiais a serem empregados;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/>
      </w:pPr>
      <w:r>
        <w:rPr>
          <w:rFonts w:cs="Calibri" w:cstheme="minorHAnsi"/>
        </w:rPr>
        <w:t>Procedimentos recomendados para a execução, fabricação, transporte, montagem e proteção anticorrosiva das estruturas;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Observância das boas práticas de engenharia, em conformidade com as normas da ABNT (NBRs vigentes).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Instalações Hidrossanitárias:</w:t>
      </w:r>
    </w:p>
    <w:p>
      <w:pPr>
        <w:pStyle w:val="ListParagraph"/>
        <w:spacing w:lineRule="auto" w:line="360" w:before="0" w:after="0"/>
        <w:ind w:left="1080"/>
        <w:contextualSpacing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>O projeto executivo deverá contemplar todas as plantas, cortes, esquemas isométricos e detalhes construtivos, abrangendo: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80"/>
        </w:numPr>
        <w:spacing w:lineRule="auto" w:line="360" w:before="0" w:after="0"/>
        <w:contextualSpacing/>
        <w:rPr/>
      </w:pPr>
      <w:r>
        <w:rPr>
          <w:rFonts w:cs="Calibri" w:cstheme="minorHAnsi"/>
          <w:b/>
          <w:bCs/>
        </w:rPr>
        <w:t>Abastecimento de água fria</w:t>
      </w:r>
      <w:r>
        <w:rPr>
          <w:rFonts w:cs="Calibri" w:cstheme="minorHAnsi"/>
        </w:rPr>
        <w:t>: dimensionamento de tubulações, reservatórios, bombas, barriletes, registros, válvulas e pontos de consumo;</w:t>
      </w:r>
    </w:p>
    <w:p>
      <w:pPr>
        <w:pStyle w:val="ListParagraph"/>
        <w:numPr>
          <w:ilvl w:val="0"/>
          <w:numId w:val="80"/>
        </w:numPr>
        <w:spacing w:lineRule="auto" w:line="360" w:before="0" w:after="0"/>
        <w:contextualSpacing/>
        <w:rPr/>
      </w:pPr>
      <w:r>
        <w:rPr>
          <w:rFonts w:cs="Calibri" w:cstheme="minorHAnsi"/>
          <w:b/>
          <w:bCs/>
        </w:rPr>
        <w:t>Esgoto sanitário</w:t>
      </w:r>
      <w:r>
        <w:rPr>
          <w:rFonts w:cs="Calibri" w:cstheme="minorHAnsi"/>
        </w:rPr>
        <w:t>: traçado das redes, tubulações, conexões, caixas de inspeção, ventilação sanitária, ramais e pontos de coleta;</w:t>
      </w:r>
    </w:p>
    <w:p>
      <w:pPr>
        <w:pStyle w:val="ListParagraph"/>
        <w:numPr>
          <w:ilvl w:val="0"/>
          <w:numId w:val="80"/>
        </w:numPr>
        <w:spacing w:lineRule="auto" w:line="360" w:before="0" w:after="0"/>
        <w:contextualSpacing/>
        <w:rPr/>
      </w:pPr>
      <w:r>
        <w:rPr>
          <w:rFonts w:cs="Calibri" w:cstheme="minorHAnsi"/>
          <w:b/>
          <w:bCs/>
        </w:rPr>
        <w:t>Águas pluviais</w:t>
      </w:r>
      <w:r>
        <w:rPr>
          <w:rFonts w:cs="Calibri" w:cstheme="minorHAnsi"/>
        </w:rPr>
        <w:t>: calhas, condutores verticais e horizontais, caixas de inspeção, poços de infiltração e pontos de lançamento;</w:t>
      </w:r>
    </w:p>
    <w:p>
      <w:pPr>
        <w:pStyle w:val="ListParagraph"/>
        <w:numPr>
          <w:ilvl w:val="0"/>
          <w:numId w:val="80"/>
        </w:numPr>
        <w:spacing w:lineRule="auto" w:line="360" w:before="0" w:after="0"/>
        <w:contextualSpacing/>
        <w:rPr/>
      </w:pPr>
      <w:r>
        <w:rPr>
          <w:rFonts w:cs="Calibri" w:cstheme="minorHAnsi"/>
          <w:b/>
          <w:bCs/>
        </w:rPr>
        <w:t>Isométrico de Incêndio</w:t>
      </w:r>
      <w:r>
        <w:rPr>
          <w:rFonts w:cs="Calibri" w:cstheme="minorHAnsi"/>
        </w:rPr>
        <w:t>: dimensionamento de tubulações, reservatórios, bombas, barriletes, registros, válvulas e pontos de consumo;</w:t>
      </w:r>
    </w:p>
    <w:p>
      <w:pPr>
        <w:pStyle w:val="Normal"/>
        <w:numPr>
          <w:ilvl w:val="0"/>
          <w:numId w:val="80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 xml:space="preserve">Memorial de cálculo </w:t>
      </w:r>
      <w:r>
        <w:rPr>
          <w:rFonts w:cs="Calibri" w:cstheme="minorHAnsi"/>
        </w:rPr>
        <w:t>com as premissas e dimensionamento de todos os elementos;</w:t>
      </w:r>
    </w:p>
    <w:p>
      <w:pPr>
        <w:pStyle w:val="Normal"/>
        <w:numPr>
          <w:ilvl w:val="0"/>
          <w:numId w:val="80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Memorial descritivo executivo</w:t>
      </w:r>
      <w:r>
        <w:rPr>
          <w:rFonts w:cs="Calibri" w:cstheme="minorHAnsi"/>
        </w:rPr>
        <w:t>, apresentando:</w:t>
      </w:r>
    </w:p>
    <w:p>
      <w:pPr>
        <w:pStyle w:val="Normal"/>
        <w:numPr>
          <w:ilvl w:val="0"/>
          <w:numId w:val="81"/>
        </w:numPr>
        <w:spacing w:lineRule="auto" w:line="360" w:before="0" w:after="0"/>
        <w:rPr/>
      </w:pPr>
      <w:r>
        <w:rPr>
          <w:rFonts w:cs="Calibri" w:cstheme="minorHAnsi"/>
        </w:rPr>
        <w:t>As soluções adotadas para cada sistema (abastecimento, esgoto e drenagem pluvial);</w:t>
      </w:r>
    </w:p>
    <w:p>
      <w:pPr>
        <w:pStyle w:val="Normal"/>
        <w:numPr>
          <w:ilvl w:val="0"/>
          <w:numId w:val="81"/>
        </w:numPr>
        <w:spacing w:lineRule="auto" w:line="360" w:before="0" w:after="0"/>
        <w:rPr/>
      </w:pPr>
      <w:r>
        <w:rPr>
          <w:rFonts w:cs="Calibri" w:cstheme="minorHAnsi"/>
        </w:rPr>
        <w:t>Especificações claras dos materiais, conexões e equipamentos a serem empregados;</w:t>
      </w:r>
    </w:p>
    <w:p>
      <w:pPr>
        <w:pStyle w:val="Normal"/>
        <w:numPr>
          <w:ilvl w:val="0"/>
          <w:numId w:val="81"/>
        </w:numPr>
        <w:spacing w:lineRule="auto" w:line="360" w:before="0" w:after="0"/>
        <w:rPr/>
      </w:pPr>
      <w:r>
        <w:rPr>
          <w:rFonts w:cs="Calibri" w:cstheme="minorHAnsi"/>
        </w:rPr>
        <w:t>Procedimentos recomendados para a execução dos serviços, observando as boas práticas de instalação;</w:t>
      </w:r>
    </w:p>
    <w:p>
      <w:pPr>
        <w:pStyle w:val="Normal"/>
        <w:numPr>
          <w:ilvl w:val="0"/>
          <w:numId w:val="81"/>
        </w:numPr>
        <w:spacing w:lineRule="auto" w:line="360" w:before="0" w:after="0"/>
        <w:rPr/>
      </w:pPr>
      <w:r>
        <w:rPr>
          <w:rFonts w:cs="Calibri" w:cstheme="minorHAnsi"/>
        </w:rPr>
        <w:t>Atendimento integral às normas da ABNT (NBRs vigentes) e às exigências das concessionárias locais de água e esgoto.</w:t>
      </w:r>
    </w:p>
    <w:p>
      <w:pPr>
        <w:pStyle w:val="Normal"/>
        <w:spacing w:lineRule="auto" w:line="360" w:before="0" w:after="0"/>
        <w:ind w:left="144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Instalações Elétricas e Luminotécnicas:</w:t>
      </w:r>
    </w:p>
    <w:p>
      <w:pPr>
        <w:pStyle w:val="Normal"/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O projeto executivo deverá contemplar todas as plantas, cortes, diagramas unifilares, esquemas de quadros e detalhes construtivos, abrangendo:</w:t>
      </w:r>
    </w:p>
    <w:p>
      <w:pPr>
        <w:pStyle w:val="Normal"/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0"/>
          <w:numId w:val="7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Distribuição elétrica</w:t>
      </w:r>
      <w:r>
        <w:rPr>
          <w:rFonts w:cs="Calibri" w:cstheme="minorHAnsi"/>
        </w:rPr>
        <w:t>: pontos de energia, quadros de distribuição, circuitos, condutores, dispositivos de proteção e aterramento;</w:t>
      </w:r>
    </w:p>
    <w:p>
      <w:pPr>
        <w:pStyle w:val="Normal"/>
        <w:numPr>
          <w:ilvl w:val="0"/>
          <w:numId w:val="7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Iluminação</w:t>
      </w:r>
      <w:r>
        <w:rPr>
          <w:rFonts w:cs="Calibri" w:cstheme="minorHAnsi"/>
        </w:rPr>
        <w:t>: projeto luminotécnico com níveis de iluminância conforme ABNT NBR ISO/CIE 8995-1, posicionamento e especificação das luminárias;</w:t>
      </w:r>
    </w:p>
    <w:p>
      <w:pPr>
        <w:pStyle w:val="Normal"/>
        <w:numPr>
          <w:ilvl w:val="0"/>
          <w:numId w:val="7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Tomadas e pontos de uso específico</w:t>
      </w:r>
      <w:r>
        <w:rPr>
          <w:rFonts w:cs="Calibri" w:cstheme="minorHAnsi"/>
        </w:rPr>
        <w:t>: dimensionados conforme NBR 5410, incluindo áreas técnicas, vestiários, quadras e guaritas.</w:t>
      </w:r>
    </w:p>
    <w:p>
      <w:pPr>
        <w:pStyle w:val="Normal"/>
        <w:numPr>
          <w:ilvl w:val="0"/>
          <w:numId w:val="7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 xml:space="preserve">Memorial de cálculo </w:t>
      </w:r>
      <w:r>
        <w:rPr>
          <w:rFonts w:cs="Calibri" w:cstheme="minorHAnsi"/>
        </w:rPr>
        <w:t>com as premissas e dimensionamento de todos os elementos considerando sempre a demanda de 100%;</w:t>
      </w:r>
    </w:p>
    <w:p>
      <w:pPr>
        <w:pStyle w:val="Normal"/>
        <w:numPr>
          <w:ilvl w:val="0"/>
          <w:numId w:val="7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Memorial descritivo executivo</w:t>
      </w:r>
      <w:r>
        <w:rPr>
          <w:rFonts w:cs="Calibri" w:cstheme="minorHAnsi"/>
        </w:rPr>
        <w:t>, apresentando:</w:t>
      </w:r>
    </w:p>
    <w:p>
      <w:pPr>
        <w:pStyle w:val="Normal"/>
        <w:numPr>
          <w:ilvl w:val="1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As soluções adotadas;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Especificações claras dos materiais, condutores, dispositivos e equipamentos;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Procedimentos de execução e recomendações de boas práticas;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  <w:t>Atendimento integral às normas da ABNT (NBR 5410, NBR ISO/CIE 8995-1 e demais aplicáveis), bem como às normas e exigências da concessionária de energia local.</w:t>
      </w:r>
    </w:p>
    <w:p>
      <w:pPr>
        <w:pStyle w:val="Normal"/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Sistema de Proteção contra Descargas Atmosféricas (SPDA):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>O projeto executivo deverá contemplar o dimensionamento completo do sistema de proteção contra descargas atmosféricas, conforme NBR 5419, incluindo: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0"/>
          <w:numId w:val="8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Captores</w:t>
      </w:r>
      <w:r>
        <w:rPr>
          <w:rFonts w:cs="Calibri" w:cstheme="minorHAnsi"/>
        </w:rPr>
        <w:t>: hastes, cabos e malhas de captação;</w:t>
      </w:r>
    </w:p>
    <w:p>
      <w:pPr>
        <w:pStyle w:val="Normal"/>
        <w:numPr>
          <w:ilvl w:val="0"/>
          <w:numId w:val="8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Descidas</w:t>
      </w:r>
      <w:r>
        <w:rPr>
          <w:rFonts w:cs="Calibri" w:cstheme="minorHAnsi"/>
        </w:rPr>
        <w:t>: posicionamento e dimensionamento dos condutores;</w:t>
      </w:r>
    </w:p>
    <w:p>
      <w:pPr>
        <w:pStyle w:val="Normal"/>
        <w:numPr>
          <w:ilvl w:val="0"/>
          <w:numId w:val="8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Aterramento</w:t>
      </w:r>
      <w:r>
        <w:rPr>
          <w:rFonts w:cs="Calibri" w:cstheme="minorHAnsi"/>
        </w:rPr>
        <w:t>: hastes, malhas, conexões e pontos de medição;</w:t>
      </w:r>
    </w:p>
    <w:p>
      <w:pPr>
        <w:pStyle w:val="Normal"/>
        <w:numPr>
          <w:ilvl w:val="0"/>
          <w:numId w:val="8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Interligações</w:t>
      </w:r>
      <w:r>
        <w:rPr>
          <w:rFonts w:cs="Calibri" w:cstheme="minorHAnsi"/>
        </w:rPr>
        <w:t>: equipotencialização e integração com o sistema elétrico;</w:t>
      </w:r>
    </w:p>
    <w:p>
      <w:pPr>
        <w:pStyle w:val="Normal"/>
        <w:numPr>
          <w:ilvl w:val="0"/>
          <w:numId w:val="8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 xml:space="preserve">Memorial de cálculo </w:t>
      </w:r>
      <w:r>
        <w:rPr>
          <w:rFonts w:cs="Calibri" w:cstheme="minorHAnsi"/>
        </w:rPr>
        <w:t>com as premissas e dimensionamento de todos os elementos;</w:t>
      </w:r>
    </w:p>
    <w:p>
      <w:pPr>
        <w:pStyle w:val="Normal"/>
        <w:numPr>
          <w:ilvl w:val="0"/>
          <w:numId w:val="8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Memorial descritivo executivo</w:t>
      </w:r>
      <w:r>
        <w:rPr>
          <w:rFonts w:cs="Calibri" w:cstheme="minorHAnsi"/>
        </w:rPr>
        <w:t>, apresentando:</w:t>
      </w:r>
    </w:p>
    <w:p>
      <w:pPr>
        <w:pStyle w:val="Normal"/>
        <w:numPr>
          <w:ilvl w:val="0"/>
          <w:numId w:val="82"/>
        </w:numPr>
        <w:spacing w:lineRule="auto" w:line="360" w:before="0" w:after="0"/>
        <w:rPr/>
      </w:pPr>
      <w:r>
        <w:rPr>
          <w:rFonts w:cs="Calibri" w:cstheme="minorHAnsi"/>
        </w:rPr>
        <w:t>As soluções de proteção adotadas;</w:t>
      </w:r>
    </w:p>
    <w:p>
      <w:pPr>
        <w:pStyle w:val="Normal"/>
        <w:numPr>
          <w:ilvl w:val="0"/>
          <w:numId w:val="82"/>
        </w:numPr>
        <w:spacing w:lineRule="auto" w:line="360" w:before="0" w:after="0"/>
        <w:rPr/>
      </w:pPr>
      <w:r>
        <w:rPr>
          <w:rFonts w:cs="Calibri" w:cstheme="minorHAnsi"/>
        </w:rPr>
        <w:t>Especificações claras dos materiais, cabos, conectores e hastes;</w:t>
      </w:r>
    </w:p>
    <w:p>
      <w:pPr>
        <w:pStyle w:val="Normal"/>
        <w:numPr>
          <w:ilvl w:val="0"/>
          <w:numId w:val="82"/>
        </w:numPr>
        <w:spacing w:lineRule="auto" w:line="360" w:before="0" w:after="0"/>
        <w:rPr/>
      </w:pPr>
      <w:r>
        <w:rPr>
          <w:rFonts w:cs="Calibri" w:cstheme="minorHAnsi"/>
        </w:rPr>
        <w:t>Procedimentos de execução e recomendações de boas práticas;</w:t>
      </w:r>
    </w:p>
    <w:p>
      <w:pPr>
        <w:pStyle w:val="Normal"/>
        <w:numPr>
          <w:ilvl w:val="0"/>
          <w:numId w:val="82"/>
        </w:numPr>
        <w:spacing w:lineRule="auto" w:line="360" w:before="0" w:after="0"/>
        <w:rPr/>
      </w:pPr>
      <w:r>
        <w:rPr>
          <w:rFonts w:cs="Calibri" w:cstheme="minorHAnsi"/>
        </w:rPr>
        <w:t>Atendimento integral às normas da ABNT (NBR 5419 vigente).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  <w:b/>
          <w:bCs/>
        </w:rPr>
        <w:t>Projeto de Prevenção e Combate a Incêndio (PCI):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>O projeto executivo deverá contemplar todas as medidas de segurança contra incêndio, em conformidade com a legislação estadual e normas do Corpo de Bombeiros, incluindo: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0"/>
          <w:numId w:val="9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Sistemas de proteção ativa</w:t>
      </w:r>
      <w:r>
        <w:rPr>
          <w:rFonts w:cs="Calibri" w:cstheme="minorHAnsi"/>
        </w:rPr>
        <w:t>: hidrantes, extintores, iluminação de emergência, sinalização de saída, detectores e alarmes (quando aplicável);</w:t>
      </w:r>
    </w:p>
    <w:p>
      <w:pPr>
        <w:pStyle w:val="Normal"/>
        <w:numPr>
          <w:ilvl w:val="0"/>
          <w:numId w:val="9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Rotas de fuga</w:t>
      </w:r>
      <w:r>
        <w:rPr>
          <w:rFonts w:cs="Calibri" w:cstheme="minorHAnsi"/>
        </w:rPr>
        <w:t>: dimensionamento de portas, corredores, saídas de emergência e acessibilidade;</w:t>
      </w:r>
    </w:p>
    <w:p>
      <w:pPr>
        <w:pStyle w:val="Normal"/>
        <w:numPr>
          <w:ilvl w:val="0"/>
          <w:numId w:val="9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Sistemas de ventilação e compartimentação</w:t>
      </w:r>
      <w:r>
        <w:rPr>
          <w:rFonts w:cs="Calibri" w:cstheme="minorHAnsi"/>
        </w:rPr>
        <w:t>: conforme aplicável à edificação;</w:t>
      </w:r>
    </w:p>
    <w:p>
      <w:pPr>
        <w:pStyle w:val="Normal"/>
        <w:numPr>
          <w:ilvl w:val="0"/>
          <w:numId w:val="9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 xml:space="preserve">Memorial de cálculo </w:t>
      </w:r>
      <w:r>
        <w:rPr>
          <w:rFonts w:cs="Calibri" w:cstheme="minorHAnsi"/>
        </w:rPr>
        <w:t>com as premissas e dimensionamento de todos os elementos;</w:t>
      </w:r>
    </w:p>
    <w:p>
      <w:pPr>
        <w:pStyle w:val="Normal"/>
        <w:numPr>
          <w:ilvl w:val="0"/>
          <w:numId w:val="9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Memorial descritivo executivo</w:t>
      </w:r>
      <w:r>
        <w:rPr>
          <w:rFonts w:cs="Calibri" w:cstheme="minorHAnsi"/>
        </w:rPr>
        <w:t>, apresentando:</w:t>
      </w:r>
    </w:p>
    <w:p>
      <w:pPr>
        <w:pStyle w:val="Normal"/>
        <w:numPr>
          <w:ilvl w:val="1"/>
          <w:numId w:val="90"/>
        </w:numPr>
        <w:spacing w:lineRule="auto" w:line="360" w:before="0" w:after="0"/>
        <w:rPr/>
      </w:pPr>
      <w:r>
        <w:rPr>
          <w:rFonts w:cs="Calibri" w:cstheme="minorHAnsi"/>
        </w:rPr>
        <w:t>As soluções de segurança adotadas;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/>
      </w:pPr>
      <w:r>
        <w:rPr>
          <w:rFonts w:cs="Calibri" w:cstheme="minorHAnsi"/>
        </w:rPr>
        <w:t>Especificações claras dos equipamentos, materiais e sinalização;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/>
      </w:pPr>
      <w:r>
        <w:rPr>
          <w:rFonts w:cs="Calibri" w:cstheme="minorHAnsi"/>
        </w:rPr>
        <w:t>Procedimentos de execução e instalação, observando boas práticas;</w:t>
      </w:r>
    </w:p>
    <w:p>
      <w:pPr>
        <w:pStyle w:val="Normal"/>
        <w:numPr>
          <w:ilvl w:val="1"/>
          <w:numId w:val="6"/>
        </w:numPr>
        <w:spacing w:lineRule="auto" w:line="360" w:before="0" w:after="0"/>
        <w:rPr/>
      </w:pPr>
      <w:r>
        <w:rPr>
          <w:rFonts w:cs="Calibri" w:cstheme="minorHAnsi"/>
        </w:rPr>
        <w:t>Atendimento integral às normas da ABNT, legislações estaduais e exigências do Corpo de Bombeiros, incluindo a responsabilidade da contratada em obter a aprovação formal junto ao órgão competente.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ListParagraph"/>
        <w:widowControl/>
        <w:numPr>
          <w:ilvl w:val="0"/>
          <w:numId w:val="4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Calibri" w:cs="Calibri" w:cstheme="minorHAnsi"/>
          <w:b/>
          <w:bCs/>
          <w:color w:val="auto"/>
          <w:kern w:val="2"/>
          <w:sz w:val="24"/>
          <w:szCs w:val="24"/>
          <w:lang w:val="pt-BR" w:eastAsia="en-US" w:bidi="ar-SA"/>
        </w:rPr>
      </w:pPr>
      <w:r>
        <w:rPr>
          <w:rFonts w:eastAsia="Calibri" w:cs="Calibri" w:cstheme="minorHAnsi"/>
          <w:b/>
          <w:bCs/>
          <w:color w:val="auto"/>
          <w:kern w:val="2"/>
          <w:sz w:val="24"/>
          <w:szCs w:val="24"/>
          <w:lang w:val="pt-BR" w:eastAsia="en-US" w:bidi="ar-SA"/>
        </w:rPr>
        <w:t>Critérios de aceitação de todos projetos executivos complementares: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Entrega em arquivos digitais editáveis (DWG/Revit ou equivalente) e em formato PDF;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Memorial descritivo contendo os procedimentos para a execução de cada etapa da obra baseado nas NBRs vigentes e nas boas práticas da construção;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Memorial de cálculo com as premissas, considerações e dimensionamentos realizados;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Compatibilização entre os projetos e a arquitetura aprovada;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>Quaisquer informações adicionais que venham a ser solicitadas pela Administração deverão ser prestadas pela contratada no prazo máximo de 5 (cinco) dias úteis.</w:t>
        <w:br/>
        <w:t>A análise e aprovação dos projetos apresentados pela contratada pela Administração ocorrerá em até 15 (quinze) dias corridos, observando checklist técnico previamente definido em edital, de forma a garantir critérios objetivos de aceitação.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/>
        <w:numPr>
          <w:ilvl w:val="0"/>
          <w:numId w:val="4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Calibri" w:cs="Calibri" w:cstheme="minorHAnsi"/>
          <w:b/>
          <w:bCs/>
          <w:color w:val="auto"/>
          <w:kern w:val="2"/>
          <w:sz w:val="24"/>
          <w:szCs w:val="24"/>
          <w:lang w:val="pt-BR" w:eastAsia="en-US" w:bidi="ar-SA"/>
        </w:rPr>
      </w:pPr>
      <w:r>
        <w:rPr>
          <w:rFonts w:eastAsia="Calibri" w:cs="Calibri" w:cstheme="minorHAnsi"/>
          <w:b/>
          <w:bCs/>
          <w:color w:val="auto"/>
          <w:kern w:val="2"/>
          <w:sz w:val="24"/>
          <w:szCs w:val="24"/>
          <w:lang w:val="pt-BR" w:eastAsia="en-US" w:bidi="ar-SA"/>
        </w:rPr>
        <w:t>Responsabilidade pelas Aprovações Legais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>É de inteira responsabilidade da empresa contratada: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75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 xml:space="preserve">Elaborar, protocolar e obter todas as </w:t>
      </w:r>
      <w:r>
        <w:rPr>
          <w:rFonts w:cs="Calibri" w:cstheme="minorHAnsi"/>
          <w:b/>
          <w:bCs/>
        </w:rPr>
        <w:t>aprovações, licenças, alvarás, registros e anuências junto aos órgãos competentes</w:t>
      </w:r>
      <w:r>
        <w:rPr>
          <w:rFonts w:cs="Calibri" w:cstheme="minorHAnsi"/>
        </w:rPr>
        <w:t xml:space="preserve"> (Corpo de Bombeiros, concessionárias de água, energia e esgoto, Prefeitura, órgãos ambientais e demais exigidos por lei).</w:t>
      </w:r>
    </w:p>
    <w:p>
      <w:pPr>
        <w:pStyle w:val="ListParagraph"/>
        <w:numPr>
          <w:ilvl w:val="0"/>
          <w:numId w:val="75"/>
        </w:numPr>
        <w:spacing w:lineRule="auto" w:line="360" w:before="0" w:after="0"/>
        <w:contextualSpacing/>
        <w:rPr/>
      </w:pPr>
      <w:r>
        <w:rPr>
          <w:rFonts w:cs="Calibri" w:cstheme="minorHAnsi"/>
          <w:b/>
          <w:bCs/>
        </w:rPr>
        <w:t>Adequar os projetos executivos</w:t>
      </w:r>
      <w:r>
        <w:rPr>
          <w:rFonts w:cs="Calibri" w:cstheme="minorHAnsi"/>
        </w:rPr>
        <w:t xml:space="preserve"> sempre que solicitado pelos órgãos competentes, até a emissão das aprovações finais.</w:t>
      </w:r>
    </w:p>
    <w:p>
      <w:pPr>
        <w:pStyle w:val="ListParagraph"/>
        <w:numPr>
          <w:ilvl w:val="0"/>
          <w:numId w:val="75"/>
        </w:numPr>
        <w:spacing w:lineRule="auto" w:line="360" w:before="0" w:after="0"/>
        <w:contextualSpacing/>
        <w:rPr/>
      </w:pPr>
      <w:r>
        <w:rPr>
          <w:rFonts w:cs="Calibri" w:cstheme="minorHAnsi"/>
        </w:rPr>
        <w:t xml:space="preserve">Arcar com todos os </w:t>
      </w:r>
      <w:r>
        <w:rPr>
          <w:rFonts w:cs="Calibri" w:cstheme="minorHAnsi"/>
          <w:b/>
          <w:bCs/>
        </w:rPr>
        <w:t>custos, taxas e emolumentos</w:t>
      </w:r>
      <w:r>
        <w:rPr>
          <w:rFonts w:cs="Calibri" w:cstheme="minorHAnsi"/>
        </w:rPr>
        <w:t xml:space="preserve"> relativos a protocolos, análises e aprovações.</w:t>
      </w:r>
    </w:p>
    <w:p>
      <w:pPr>
        <w:pStyle w:val="ListParagraph"/>
        <w:numPr>
          <w:ilvl w:val="0"/>
          <w:numId w:val="75"/>
        </w:numPr>
        <w:spacing w:lineRule="auto" w:line="360" w:before="0" w:after="0"/>
        <w:contextualSpacing/>
        <w:rPr>
          <w:rFonts w:cs="Calibri" w:cstheme="minorHAnsi"/>
        </w:rPr>
      </w:pPr>
      <w:r>
        <w:rPr>
          <w:rFonts w:cs="Calibri" w:cstheme="minorHAnsi"/>
        </w:rPr>
        <w:t xml:space="preserve">Entregar à Administração os </w:t>
      </w:r>
      <w:r>
        <w:rPr>
          <w:rFonts w:cs="Calibri" w:cstheme="minorHAnsi"/>
          <w:b/>
          <w:bCs/>
        </w:rPr>
        <w:t>comprovantes de aprovação</w:t>
      </w:r>
      <w:r>
        <w:rPr>
          <w:rFonts w:cs="Calibri" w:cstheme="minorHAnsi"/>
        </w:rPr>
        <w:t xml:space="preserve"> emitidos pelos órgãos competentes como condição indispensável para o aceite definitivo dos projetos executivos.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  <w:t>Planilha Orçamentária</w:t>
      </w:r>
    </w:p>
    <w:p>
      <w:pPr>
        <w:pStyle w:val="ListParagraph"/>
        <w:spacing w:lineRule="auto" w:line="360" w:before="0" w:after="0"/>
        <w:ind w:left="1080"/>
        <w:contextualSpacing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 xml:space="preserve">É considerada parte do projeto executivo. A contratada deverá elaborar e apresentar o </w:t>
      </w:r>
      <w:r>
        <w:rPr>
          <w:rFonts w:cs="Calibri" w:cstheme="minorHAnsi"/>
          <w:b/>
          <w:bCs/>
        </w:rPr>
        <w:t>orçamento detalhado da obra</w:t>
      </w:r>
      <w:r>
        <w:rPr>
          <w:rFonts w:cs="Calibri" w:cstheme="minorHAnsi"/>
        </w:rPr>
        <w:t xml:space="preserve"> em planilha orçamentária, no modelo/sistema da “planilha múltipla da Caixa Econômica Federal” observando rigorosamente os seguintes critérios: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Listagem e Quantificação dos Serviços: </w:t>
      </w:r>
      <w:r>
        <w:rPr>
          <w:rFonts w:cs="Calibri" w:cstheme="minorHAnsi"/>
        </w:rPr>
        <w:t>Todos os serviços previstos para a execução da obra deverão estar discriminados na planilha, com descrição clara, unidades de medida, quantitativos precisos e valores unitários e totais.</w:t>
      </w:r>
    </w:p>
    <w:p>
      <w:pPr>
        <w:pStyle w:val="Normal"/>
        <w:spacing w:lineRule="auto" w:line="360" w:before="0" w:after="0"/>
        <w:ind w:left="72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Bases de Referência de Preços: </w:t>
      </w:r>
      <w:r>
        <w:rPr>
          <w:rFonts w:cs="Calibri" w:cstheme="minorHAnsi"/>
        </w:rPr>
        <w:t>Os preços unitários deverão ser obrigatoriamente fundamentados nas bases oficiais vigentes, conforme a seguinte ordem de prioridade: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1"/>
          <w:numId w:val="20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SINAPI</w:t>
      </w:r>
      <w:r>
        <w:rPr>
          <w:rFonts w:cs="Calibri" w:cstheme="minorHAnsi"/>
        </w:rPr>
        <w:t xml:space="preserve"> (Sistema Nacional de Pesquisa de Custos e Índices da Construção Civil – Caixa/IBGE);</w:t>
      </w:r>
    </w:p>
    <w:p>
      <w:pPr>
        <w:pStyle w:val="Normal"/>
        <w:numPr>
          <w:ilvl w:val="1"/>
          <w:numId w:val="20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SICRO</w:t>
      </w:r>
      <w:r>
        <w:rPr>
          <w:rFonts w:cs="Calibri" w:cstheme="minorHAnsi"/>
        </w:rPr>
        <w:t xml:space="preserve"> (Sistema de Custos Rodoviários – DNIT);</w:t>
      </w:r>
    </w:p>
    <w:p>
      <w:pPr>
        <w:pStyle w:val="Normal"/>
        <w:numPr>
          <w:ilvl w:val="1"/>
          <w:numId w:val="20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CDHU</w:t>
      </w:r>
      <w:r>
        <w:rPr>
          <w:rFonts w:cs="Calibri" w:cstheme="minorHAnsi"/>
        </w:rPr>
        <w:t xml:space="preserve">, </w:t>
      </w:r>
      <w:r>
        <w:rPr>
          <w:rFonts w:cs="Calibri" w:cstheme="minorHAnsi"/>
          <w:b/>
          <w:bCs/>
        </w:rPr>
        <w:t>FDE</w:t>
      </w:r>
      <w:r>
        <w:rPr>
          <w:rFonts w:cs="Calibri" w:cstheme="minorHAnsi"/>
        </w:rPr>
        <w:t xml:space="preserve"> ou outras tabelas oficiais reconhecidas.</w:t>
      </w:r>
    </w:p>
    <w:p>
      <w:pPr>
        <w:pStyle w:val="Normal"/>
        <w:spacing w:lineRule="auto" w:line="360" w:before="0" w:after="0"/>
        <w:ind w:left="144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 xml:space="preserve">Na inexistência de item correspondente nas bases acima, a contratada poderá apresentar </w:t>
      </w:r>
      <w:r>
        <w:rPr>
          <w:rFonts w:cs="Calibri" w:cstheme="minorHAnsi"/>
          <w:b/>
          <w:bCs/>
        </w:rPr>
        <w:t>composições analíticas de preços</w:t>
      </w:r>
      <w:r>
        <w:rPr>
          <w:rFonts w:cs="Calibri" w:cstheme="minorHAnsi"/>
        </w:rPr>
        <w:t>, devidamente justificadas e acompanhadas dos respectivos coeficientes de consumo, produtividade e custos de insumos, para análise e aprovação da Administração.</w:t>
      </w:r>
    </w:p>
    <w:p>
      <w:pPr>
        <w:pStyle w:val="Normal"/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Limite de Preços: </w:t>
      </w:r>
      <w:r>
        <w:rPr>
          <w:rFonts w:cs="Calibri" w:cstheme="minorHAnsi"/>
        </w:rPr>
        <w:t>Em nenhuma hipótese será admitida a apresentação de valores superiores aos praticados nas bases oficiais de referência. Caso constatados preços acima do limite, a contratada deverá proceder aos ajustes necessários antes da validação do orçamento.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Documentação Comprobatória: </w:t>
      </w:r>
      <w:r>
        <w:rPr>
          <w:rFonts w:cs="Calibri" w:cstheme="minorHAnsi"/>
        </w:rPr>
        <w:t>A planilha orçamentária deverá ser entregue acompanhada de: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1"/>
          <w:numId w:val="91"/>
        </w:numPr>
        <w:spacing w:lineRule="auto" w:line="360" w:before="0" w:after="0"/>
        <w:rPr/>
      </w:pPr>
      <w:r>
        <w:rPr>
          <w:rFonts w:cs="Calibri" w:cstheme="minorHAnsi"/>
        </w:rPr>
        <w:t>Relatório de composição analítica dos itens não contemplados em bases oficiais;</w:t>
      </w:r>
    </w:p>
    <w:p>
      <w:pPr>
        <w:pStyle w:val="Normal"/>
        <w:numPr>
          <w:ilvl w:val="1"/>
          <w:numId w:val="20"/>
        </w:numPr>
        <w:spacing w:lineRule="auto" w:line="360" w:before="0" w:after="0"/>
        <w:rPr/>
      </w:pPr>
      <w:r>
        <w:rPr>
          <w:rFonts w:cs="Calibri" w:cstheme="minorHAnsi"/>
        </w:rPr>
        <w:t>Indicação expressa da base utilizada para cada item (SINAPI, SICRO, CDHU, FDE ou composição própria);</w:t>
      </w:r>
    </w:p>
    <w:p>
      <w:pPr>
        <w:pStyle w:val="Normal"/>
        <w:numPr>
          <w:ilvl w:val="1"/>
          <w:numId w:val="20"/>
        </w:numPr>
        <w:spacing w:lineRule="auto" w:line="360" w:before="0" w:after="0"/>
        <w:rPr/>
      </w:pPr>
      <w:r>
        <w:rPr>
          <w:rFonts w:cs="Calibri" w:cstheme="minorHAnsi"/>
        </w:rPr>
        <w:t>Memória de cálculo e metodologia adotada para composições específicas.</w:t>
      </w:r>
    </w:p>
    <w:p>
      <w:pPr>
        <w:pStyle w:val="Normal"/>
        <w:spacing w:lineRule="auto" w:line="360" w:before="0" w:after="0"/>
        <w:ind w:left="144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Condição para Aceitação: </w:t>
      </w:r>
      <w:r>
        <w:rPr>
          <w:rFonts w:cs="Calibri" w:cstheme="minorHAnsi"/>
        </w:rPr>
        <w:t>O orçamento somente será considerado aceito após análise e aprovação formal pela Administração, que poderá solicitar esclarecimentos, ajustes ou complementações sempre que julgar necessário.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  <w:t>Cronograma de Execução da Obra</w:t>
      </w:r>
    </w:p>
    <w:p>
      <w:pPr>
        <w:pStyle w:val="ListParagraph"/>
        <w:spacing w:lineRule="auto" w:line="360" w:before="0" w:after="0"/>
        <w:ind w:left="1080"/>
        <w:contextualSpacing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  <w:t xml:space="preserve">É considerada parte do projeto executivo. A contratada deverá elaborar e apresentar o </w:t>
      </w:r>
      <w:r>
        <w:rPr>
          <w:rFonts w:cs="Calibri" w:cstheme="minorHAnsi"/>
          <w:b/>
          <w:bCs/>
        </w:rPr>
        <w:t>Cronograma Físico-Financeiro da Obra</w:t>
      </w:r>
      <w:r>
        <w:rPr>
          <w:rFonts w:cs="Calibri" w:cstheme="minorHAnsi"/>
        </w:rPr>
        <w:t xml:space="preserve">, em prazo não maior que o previsto pela Administração, em conformidade com as diretrizes da Caixa Econômica Federal, utilizando como base a estrutura organizacional composta por </w:t>
      </w:r>
      <w:r>
        <w:rPr>
          <w:rFonts w:cs="Calibri" w:cstheme="minorHAnsi"/>
          <w:b/>
          <w:bCs/>
        </w:rPr>
        <w:t>Metas, Eventos e Frentes de Trabalho</w:t>
      </w:r>
      <w:r>
        <w:rPr>
          <w:rFonts w:cs="Calibri" w:cstheme="minorHAnsi"/>
        </w:rPr>
        <w:t>, devendo atender aos seguintes critérios:</w:t>
      </w:r>
    </w:p>
    <w:p>
      <w:pPr>
        <w:pStyle w:val="Normal"/>
        <w:spacing w:lineRule="auto" w:line="360" w:before="0" w:after="0"/>
        <w:ind w:left="36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numPr>
          <w:ilvl w:val="0"/>
          <w:numId w:val="21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Definição de Prazos: </w:t>
      </w:r>
      <w:r>
        <w:rPr>
          <w:rFonts w:cs="Calibri" w:cstheme="minorHAnsi"/>
        </w:rPr>
        <w:t>O cronograma deverá contemplar o prazo total de execução do objeto contratado, com a devida distribuição temporal das atividades, considerando a sequência lógica dos serviços e a capacidade produtiva compatível com a mobilização de recursos humanos, materiais e equipamentos.</w:t>
      </w:r>
    </w:p>
    <w:p>
      <w:pPr>
        <w:pStyle w:val="Normal"/>
        <w:numPr>
          <w:ilvl w:val="0"/>
          <w:numId w:val="21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Metas, Eventos e Frentes de Trabalho:</w:t>
      </w:r>
    </w:p>
    <w:p>
      <w:pPr>
        <w:pStyle w:val="Normal"/>
        <w:numPr>
          <w:ilvl w:val="1"/>
          <w:numId w:val="21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Metas</w:t>
      </w:r>
      <w:r>
        <w:rPr>
          <w:rFonts w:cs="Calibri" w:cstheme="minorHAnsi"/>
        </w:rPr>
        <w:t>: correspondem aos grandes marcos do empreendimento, que permitem acompanhar a evolução da execução e o atingimento de objetivos parciais.</w:t>
      </w:r>
    </w:p>
    <w:p>
      <w:pPr>
        <w:pStyle w:val="Normal"/>
        <w:numPr>
          <w:ilvl w:val="1"/>
          <w:numId w:val="21"/>
        </w:numPr>
        <w:spacing w:lineRule="auto" w:line="360" w:before="0" w:after="0"/>
        <w:rPr/>
      </w:pPr>
      <w:r>
        <w:rPr>
          <w:rFonts w:cs="Calibri" w:cstheme="minorHAnsi"/>
          <w:b/>
          <w:bCs/>
        </w:rPr>
        <w:t>Eventos</w:t>
      </w:r>
      <w:r>
        <w:rPr>
          <w:rFonts w:cs="Calibri" w:cstheme="minorHAnsi"/>
        </w:rPr>
        <w:t>: representam os agrupamentos de serviços ou etapas construtivas intermediárias necessárias para o cumprimento das metas.</w:t>
      </w:r>
    </w:p>
    <w:p>
      <w:pPr>
        <w:pStyle w:val="Normal"/>
        <w:numPr>
          <w:ilvl w:val="1"/>
          <w:numId w:val="21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Frentes de Trabalho</w:t>
      </w:r>
      <w:r>
        <w:rPr>
          <w:rFonts w:cs="Calibri" w:cstheme="minorHAnsi"/>
        </w:rPr>
        <w:t>: constituem os conjuntos de serviços específicos, localizados e quantificáveis, que possibilitam o controle detalhado da execução física da obra.</w:t>
      </w:r>
    </w:p>
    <w:p>
      <w:pPr>
        <w:pStyle w:val="Normal"/>
        <w:numPr>
          <w:ilvl w:val="0"/>
          <w:numId w:val="21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Compatibilidade com o Orçamento: </w:t>
      </w:r>
      <w:r>
        <w:rPr>
          <w:rFonts w:cs="Calibri" w:cstheme="minorHAnsi"/>
        </w:rPr>
        <w:t>O cronograma deverá estar compatível com a planilha orçamentária aprovada, permitindo o acompanhamento físico-financeiro da execução e a correlação entre desembolso previsto e avanço dos serviços.</w:t>
      </w:r>
    </w:p>
    <w:p>
      <w:pPr>
        <w:pStyle w:val="Normal"/>
        <w:numPr>
          <w:ilvl w:val="0"/>
          <w:numId w:val="21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 xml:space="preserve">Formato e Entrega: </w:t>
      </w:r>
      <w:r>
        <w:rPr>
          <w:rFonts w:cs="Calibri" w:cstheme="minorHAnsi"/>
        </w:rPr>
        <w:t>O cronograma deverá ser entregue em formato eletrônico editável (planilha compatível com o modelo da Caixa Econômica Federal), acompanhado de versão em PDF. Alterações posteriores deverão ser submetidas previamente à aprovação da Administração.</w:t>
      </w:r>
    </w:p>
    <w:p>
      <w:pPr>
        <w:pStyle w:val="Normal"/>
        <w:numPr>
          <w:ilvl w:val="0"/>
          <w:numId w:val="21"/>
        </w:numPr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  <w:b/>
          <w:bCs/>
        </w:rPr>
        <w:t>Critério de Aceitação</w:t>
      </w:r>
      <w:r>
        <w:rPr>
          <w:rFonts w:cs="Calibri" w:cstheme="minorHAnsi"/>
        </w:rPr>
        <w:br/>
        <w:t>O cronograma somente será aceito após validação pela Administração, que poderá solicitar ajustes para garantir a exequibilidade, a coerência com os prazos contratuais e a conformidade com a metodologia da Caixa Econômica Federal.</w:t>
      </w:r>
    </w:p>
    <w:p>
      <w:pPr>
        <w:pStyle w:val="Normal"/>
        <w:spacing w:lineRule="auto" w:line="360" w:before="0" w:after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0"/>
        </w:numPr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" w:name="_Toc211245187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t>ADMINISTRAÇÃO LOCAL DA OBRA</w:t>
      </w:r>
      <w:bookmarkEnd w:id="2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br/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" w:name="_Toc21124518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2.1) CANTEIRO DE OBRAS</w:t>
      </w:r>
      <w:bookmarkEnd w:id="3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A contratada deverá manter, durante </w:t>
      </w:r>
      <w:r>
        <w:rPr>
          <w:rFonts w:eastAsia="" w:cs="Calibri" w:cstheme="minorHAnsi" w:eastAsiaTheme="majorEastAsia"/>
          <w:b/>
          <w:bCs/>
        </w:rPr>
        <w:t>todo o período de execução da obra</w:t>
      </w:r>
      <w:r>
        <w:rPr>
          <w:rFonts w:eastAsia="" w:cs="Calibri" w:cstheme="minorHAnsi" w:eastAsiaTheme="majorEastAsia"/>
        </w:rPr>
        <w:t xml:space="preserve">, a infraestrutura mínima de apoio administrativo e operacional, por meio da </w:t>
      </w:r>
      <w:r>
        <w:rPr>
          <w:rFonts w:eastAsia="" w:cs="Calibri" w:cstheme="minorHAnsi" w:eastAsiaTheme="majorEastAsia"/>
          <w:b/>
          <w:bCs/>
        </w:rPr>
        <w:t>locação, instalação e manutenção de contêineres</w:t>
      </w:r>
      <w:r>
        <w:rPr>
          <w:rFonts w:eastAsia="" w:cs="Calibri" w:cstheme="minorHAnsi" w:eastAsiaTheme="majorEastAsia"/>
        </w:rPr>
        <w:t xml:space="preserve"> em perfeitas condições de uso, conforme especificações abaixo: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1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Contêiner para Escritório Administrativo</w:t>
      </w:r>
    </w:p>
    <w:p>
      <w:pPr>
        <w:pStyle w:val="Normal"/>
        <w:numPr>
          <w:ilvl w:val="0"/>
          <w:numId w:val="1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Dimensões: 2,30 m (largura) x 6,00 m (comprimento) x 2,50 m (altura);</w:t>
      </w:r>
    </w:p>
    <w:p>
      <w:pPr>
        <w:pStyle w:val="Normal"/>
        <w:numPr>
          <w:ilvl w:val="0"/>
          <w:numId w:val="1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Ambiente único, sem divisórias internas;</w:t>
      </w:r>
    </w:p>
    <w:p>
      <w:pPr>
        <w:pStyle w:val="Normal"/>
        <w:numPr>
          <w:ilvl w:val="0"/>
          <w:numId w:val="1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 xml:space="preserve">Dotado de </w:t>
      </w:r>
      <w:r>
        <w:rPr>
          <w:rFonts w:eastAsia="" w:cs="Calibri" w:cstheme="minorHAnsi" w:eastAsiaTheme="majorEastAsia"/>
          <w:b/>
          <w:bCs/>
        </w:rPr>
        <w:t>1 (um) sanitário completo</w:t>
      </w:r>
      <w:r>
        <w:rPr>
          <w:rFonts w:eastAsia="" w:cs="Calibri" w:cstheme="minorHAnsi" w:eastAsiaTheme="majorEastAsia"/>
        </w:rPr>
        <w:t>;</w:t>
      </w:r>
    </w:p>
    <w:p>
      <w:pPr>
        <w:pStyle w:val="Normal"/>
        <w:numPr>
          <w:ilvl w:val="0"/>
          <w:numId w:val="12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Uso destinado à fiscalização e à administração da obra.</w:t>
      </w:r>
    </w:p>
    <w:p>
      <w:pPr>
        <w:pStyle w:val="Normal"/>
        <w:numPr>
          <w:ilvl w:val="0"/>
          <w:numId w:val="13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Contêiner para Depósito de Materiais</w:t>
      </w:r>
    </w:p>
    <w:p>
      <w:pPr>
        <w:pStyle w:val="Normal"/>
        <w:numPr>
          <w:ilvl w:val="0"/>
          <w:numId w:val="1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Dimensões: 2,30 m (largura) x 6,00 m (comprimento) x 2,50 m (altura);</w:t>
      </w:r>
    </w:p>
    <w:p>
      <w:pPr>
        <w:pStyle w:val="Normal"/>
        <w:numPr>
          <w:ilvl w:val="0"/>
          <w:numId w:val="1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Ambiente único, sem divisórias internas e sem sanitário;</w:t>
      </w:r>
    </w:p>
    <w:p>
      <w:pPr>
        <w:pStyle w:val="Normal"/>
        <w:numPr>
          <w:ilvl w:val="0"/>
          <w:numId w:val="14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Uso destinado ao armazenamento de ferramentas, equipamentos e insumos da obra.</w:t>
      </w:r>
    </w:p>
    <w:p>
      <w:pPr>
        <w:pStyle w:val="Normal"/>
        <w:numPr>
          <w:ilvl w:val="0"/>
          <w:numId w:val="15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Contêiner Sanitário para Trabalhadores</w:t>
      </w:r>
    </w:p>
    <w:p>
      <w:pPr>
        <w:pStyle w:val="Normal"/>
        <w:numPr>
          <w:ilvl w:val="0"/>
          <w:numId w:val="16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Dimensões: 2,30 m (largura) x 6,00 m (comprimento) x 2,50 m (altura);</w:t>
      </w:r>
    </w:p>
    <w:p>
      <w:pPr>
        <w:pStyle w:val="Normal"/>
        <w:numPr>
          <w:ilvl w:val="0"/>
          <w:numId w:val="16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 xml:space="preserve">Contendo no mínimo: </w:t>
      </w:r>
      <w:r>
        <w:rPr>
          <w:rFonts w:eastAsia="" w:cs="Calibri" w:cstheme="minorHAnsi" w:eastAsiaTheme="majorEastAsia"/>
          <w:b/>
          <w:bCs/>
        </w:rPr>
        <w:t>4 (quatro) bacias sanitárias, 8 (oito) chuveiros, 1 (um) lavatório e 1 (um) mictório</w:t>
      </w:r>
      <w:r>
        <w:rPr>
          <w:rFonts w:eastAsia="" w:cs="Calibri" w:cstheme="minorHAnsi" w:eastAsiaTheme="majorEastAsia"/>
        </w:rPr>
        <w:t>;</w:t>
      </w:r>
    </w:p>
    <w:p>
      <w:pPr>
        <w:pStyle w:val="Normal"/>
        <w:numPr>
          <w:ilvl w:val="0"/>
          <w:numId w:val="16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Uso destinado exclusivamente à equipe de obra.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  <w:b/>
          <w:bCs/>
        </w:rPr>
      </w:pPr>
      <w:r>
        <w:rPr>
          <w:rFonts w:eastAsia="" w:cs="Calibri" w:cstheme="minorHAnsi" w:eastAsiaTheme="majorEastAsia"/>
          <w:b/>
          <w:bCs/>
        </w:rPr>
      </w:r>
    </w:p>
    <w:p>
      <w:pPr>
        <w:pStyle w:val="Normal"/>
        <w:numPr>
          <w:ilvl w:val="0"/>
          <w:numId w:val="15"/>
        </w:numPr>
        <w:spacing w:lineRule="auto" w:line="360" w:before="0" w:after="0"/>
        <w:rPr>
          <w:rFonts w:eastAsia="" w:cs="Calibri" w:cstheme="minorHAnsi" w:eastAsiaTheme="majorEastAsia"/>
          <w:b/>
          <w:bCs/>
        </w:rPr>
      </w:pPr>
      <w:r>
        <w:rPr>
          <w:rFonts w:eastAsia="" w:cs="Calibri" w:cstheme="minorHAnsi" w:eastAsiaTheme="majorEastAsia"/>
          <w:b/>
          <w:bCs/>
        </w:rPr>
        <w:t>Condições gerais: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7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Os contêineres deverão ser instalados em local adequado, providos de iluminação, ventilação, ligação elétrica e hidráulica, bem como ligação de esgoto ou sistema de coleta provisório aprovado pela Administração;</w:t>
      </w:r>
    </w:p>
    <w:p>
      <w:pPr>
        <w:pStyle w:val="Normal"/>
        <w:numPr>
          <w:ilvl w:val="0"/>
          <w:numId w:val="17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 xml:space="preserve">A contratada será responsável pela </w:t>
      </w:r>
      <w:r>
        <w:rPr>
          <w:rFonts w:eastAsia="" w:cs="Calibri" w:cstheme="minorHAnsi" w:eastAsiaTheme="majorEastAsia"/>
          <w:b/>
          <w:bCs/>
        </w:rPr>
        <w:t>higienização, conservação e manutenção periódica</w:t>
      </w:r>
      <w:r>
        <w:rPr>
          <w:rFonts w:eastAsia="" w:cs="Calibri" w:cstheme="minorHAnsi" w:eastAsiaTheme="majorEastAsia"/>
        </w:rPr>
        <w:t xml:space="preserve"> dos contêineres durante todo o período da obra;</w:t>
      </w:r>
    </w:p>
    <w:p>
      <w:pPr>
        <w:pStyle w:val="Normal"/>
        <w:numPr>
          <w:ilvl w:val="0"/>
          <w:numId w:val="17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Eventuais substituições ou reparos deverão ser providenciados de imediato, sem ônus adicional para a Administração.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" w:name="_Toc21124518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2.2) EQUIPE TÉCNICA</w:t>
      </w:r>
      <w:bookmarkEnd w:id="4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A contratada deverá disponibilizar, durante </w:t>
      </w:r>
      <w:r>
        <w:rPr>
          <w:rFonts w:eastAsia="" w:cs="Calibri" w:cstheme="minorHAnsi" w:eastAsiaTheme="majorEastAsia"/>
          <w:b/>
          <w:bCs/>
        </w:rPr>
        <w:t>toda a execução da obra</w:t>
      </w:r>
      <w:r>
        <w:rPr>
          <w:rFonts w:eastAsia="" w:cs="Calibri" w:cstheme="minorHAnsi" w:eastAsiaTheme="majorEastAsia"/>
        </w:rPr>
        <w:t xml:space="preserve">, equipe técnica qualificada, com profissionais habilitados e experientes, garantindo </w:t>
      </w:r>
      <w:r>
        <w:rPr>
          <w:rFonts w:eastAsia="" w:cs="Calibri" w:cstheme="minorHAnsi" w:eastAsiaTheme="majorEastAsia"/>
          <w:b/>
          <w:bCs/>
        </w:rPr>
        <w:t>celeridade, eficiência e qualidade</w:t>
      </w:r>
      <w:r>
        <w:rPr>
          <w:rFonts w:eastAsia="" w:cs="Calibri" w:cstheme="minorHAnsi" w:eastAsiaTheme="majorEastAsia"/>
        </w:rPr>
        <w:t xml:space="preserve"> nos serviços executados. A equipe mínima exigida é a seguinte: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8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Engenheiro Civil de Obra Pleno</w:t>
      </w:r>
      <w:r>
        <w:rPr>
          <w:rFonts w:eastAsia="" w:cs="Calibri" w:cstheme="minorHAnsi" w:eastAsiaTheme="majorEastAsia"/>
        </w:rPr>
        <w:t xml:space="preserve"> – responsável pela coordenação técnica da obra, controle de qualidade, compatibilização dos projetos, fiscalização da execução e cumprimento das normas técnicas;</w:t>
      </w:r>
    </w:p>
    <w:p>
      <w:pPr>
        <w:pStyle w:val="Normal"/>
        <w:numPr>
          <w:ilvl w:val="0"/>
          <w:numId w:val="18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Técnico em Segurança do Trabalho</w:t>
      </w:r>
      <w:r>
        <w:rPr>
          <w:rFonts w:eastAsia="" w:cs="Calibri" w:cstheme="minorHAnsi" w:eastAsiaTheme="majorEastAsia"/>
        </w:rPr>
        <w:t xml:space="preserve"> – responsável pela gestão e fiscalização das condições de segurança no canteiro, prevenção de acidentes, elaboração de planos e relatórios de segurança;</w:t>
      </w:r>
    </w:p>
    <w:p>
      <w:pPr>
        <w:pStyle w:val="Normal"/>
        <w:numPr>
          <w:ilvl w:val="0"/>
          <w:numId w:val="18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Auxiliar Técnico / Assistente de Engenharia</w:t>
      </w:r>
      <w:r>
        <w:rPr>
          <w:rFonts w:eastAsia="" w:cs="Calibri" w:cstheme="minorHAnsi" w:eastAsiaTheme="majorEastAsia"/>
        </w:rPr>
        <w:t xml:space="preserve"> – apoio à equipe de engenharia, controle de medições, registros de obra, organização de documentação técnica e acompanhamento de execução;</w:t>
      </w:r>
    </w:p>
    <w:p>
      <w:pPr>
        <w:pStyle w:val="Normal"/>
        <w:numPr>
          <w:ilvl w:val="0"/>
          <w:numId w:val="18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Encarregado Geral de Obras</w:t>
      </w:r>
      <w:r>
        <w:rPr>
          <w:rFonts w:eastAsia="" w:cs="Calibri" w:cstheme="minorHAnsi" w:eastAsiaTheme="majorEastAsia"/>
        </w:rPr>
        <w:t xml:space="preserve"> – supervisão direta dos serviços em campo, coordenação das equipes operacionais, controle de cronograma físico e execução conforme projetos;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  <w:b/>
          <w:bCs/>
        </w:rPr>
      </w:pPr>
      <w:r>
        <w:rPr>
          <w:rFonts w:eastAsia="" w:cs="Calibri" w:cstheme="minorHAnsi" w:eastAsiaTheme="majorEastAsia"/>
          <w:b/>
          <w:bCs/>
        </w:rPr>
        <w:t>Encargos Complementares: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br/>
        <w:t xml:space="preserve">Cada profissional deverá desempenhar </w:t>
      </w:r>
      <w:r>
        <w:rPr>
          <w:rFonts w:eastAsia="" w:cs="Calibri" w:cstheme="minorHAnsi" w:eastAsiaTheme="majorEastAsia"/>
          <w:b/>
          <w:bCs/>
        </w:rPr>
        <w:t>todas as funções correlatas ao seu cargo</w:t>
      </w:r>
      <w:r>
        <w:rPr>
          <w:rFonts w:eastAsia="" w:cs="Calibri" w:cstheme="minorHAnsi" w:eastAsiaTheme="majorEastAsia"/>
        </w:rPr>
        <w:t>, incluindo atividades complementares necessárias para o bom andamento da obra, sem prejuízo da sua função principal.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widowControl/>
        <w:suppressAutoHyphens w:val="false"/>
        <w:bidi w:val="0"/>
        <w:spacing w:lineRule="auto" w:line="360" w:before="0" w:after="0"/>
        <w:contextualSpacing/>
        <w:jc w:val="left"/>
        <w:rPr/>
      </w:pPr>
      <w:r>
        <w:rPr>
          <w:rStyle w:val="Ttulo2Char"/>
          <w:rFonts w:eastAsia="Calibri" w:cs="Calibri" w:cstheme="minorHAnsi"/>
          <w:b/>
          <w:bCs/>
          <w:color w:val="auto"/>
          <w:kern w:val="2"/>
          <w:sz w:val="24"/>
          <w:szCs w:val="24"/>
          <w:lang w:val="pt-BR" w:eastAsia="en-US" w:bidi="ar-SA"/>
        </w:rPr>
        <w:t xml:space="preserve">2.3) </w:t>
      </w:r>
      <w:r>
        <w:rPr>
          <w:rStyle w:val="Ttulo2Char"/>
          <w:rFonts w:eastAsia="Calibri" w:cs="Calibri" w:cstheme="minorHAnsi"/>
          <w:b/>
          <w:bCs/>
          <w:color w:val="auto"/>
          <w:kern w:val="2"/>
          <w:sz w:val="24"/>
          <w:szCs w:val="24"/>
          <w:lang w:val="pt-BR" w:eastAsia="en-US" w:bidi="ar-SA"/>
        </w:rPr>
        <w:t>Obrigação da Contratada: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A equipe deverá ser mantida </w:t>
      </w:r>
      <w:r>
        <w:rPr>
          <w:rFonts w:eastAsia="" w:cs="Calibri" w:cstheme="minorHAnsi" w:eastAsiaTheme="majorEastAsia"/>
          <w:b/>
          <w:bCs/>
        </w:rPr>
        <w:t>integralmente na obra até a conclusão dos trabalhos</w:t>
      </w:r>
      <w:r>
        <w:rPr>
          <w:rFonts w:eastAsia="" w:cs="Calibri" w:cstheme="minorHAnsi" w:eastAsiaTheme="majorEastAsia"/>
        </w:rPr>
        <w:t>;</w:t>
      </w:r>
    </w:p>
    <w:p>
      <w:pPr>
        <w:pStyle w:val="Normal"/>
        <w:numPr>
          <w:ilvl w:val="0"/>
          <w:numId w:val="1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Substituições somente serão permitidas mediante </w:t>
      </w:r>
      <w:r>
        <w:rPr>
          <w:rFonts w:eastAsia="" w:cs="Calibri" w:cstheme="minorHAnsi" w:eastAsiaTheme="majorEastAsia"/>
          <w:b/>
          <w:bCs/>
        </w:rPr>
        <w:t>autorização prévia da Administração</w:t>
      </w:r>
      <w:r>
        <w:rPr>
          <w:rFonts w:eastAsia="" w:cs="Calibri" w:cstheme="minorHAnsi" w:eastAsiaTheme="majorEastAsia"/>
        </w:rPr>
        <w:t>, garantindo a continuidade, qualidade e eficiência da execução;</w:t>
      </w:r>
    </w:p>
    <w:p>
      <w:pPr>
        <w:pStyle w:val="Normal"/>
        <w:numPr>
          <w:ilvl w:val="0"/>
          <w:numId w:val="1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A presença de toda a equipe é condição </w:t>
      </w:r>
      <w:r>
        <w:rPr>
          <w:rFonts w:eastAsia="" w:cs="Calibri" w:cstheme="minorHAnsi" w:eastAsiaTheme="majorEastAsia"/>
          <w:b/>
          <w:bCs/>
        </w:rPr>
        <w:t>indispensável para a fiscalização e o recebimento das etapas da obra</w:t>
      </w:r>
      <w:r>
        <w:rPr>
          <w:rFonts w:eastAsia="" w:cs="Calibri" w:cstheme="minorHAnsi" w:eastAsiaTheme="majorEastAsia"/>
        </w:rPr>
        <w:t>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"/>
        </w:numPr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val="auto"/>
          <w:sz w:val="24"/>
          <w:szCs w:val="24"/>
        </w:rPr>
      </w:pPr>
      <w:bookmarkStart w:id="5" w:name="_Toc211245190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t>IMPLANTAÇÃO GERAL</w:t>
      </w:r>
      <w:bookmarkEnd w:id="5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val="auto"/>
          <w:sz w:val="24"/>
          <w:szCs w:val="24"/>
        </w:rPr>
      </w:pPr>
      <w:bookmarkStart w:id="6" w:name="_Toc211245191"/>
      <w:bookmarkStart w:id="7" w:name="_Hlk20858087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3.1) INSTALAÇÕES ELÉTRICAS GERAIS</w:t>
      </w:r>
      <w:bookmarkEnd w:id="6"/>
      <w:bookmarkEnd w:id="7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todas as adequações elétricas necessárias para atender à nova realidade da obra, considerando o transformador e o quadro elétrico existentes, que deverão ser avaliados, ajustados ou complementados conforme detalhamento a seguir: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disjuntor tripolar para os circuitos elétricos existentes (caixa moldada 150A);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disjuntor tripolar para o quadro que atenderá vestiários e apoio administrativo da quadra poliesportiva coberta (caixa moldada 160A);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disjuntor tripolar para o quadro que atenderá vestiários e guarita localizados próximo a piscina (caixa moldada 150A);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mini disjuntor tripolar para o quadro que controlará a quadra e iluminação externa da quadra poliesportiva coberta (vestiários e guarita/depósito) (50A);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mini disjuntor bipolar para o estacionamento (40A);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mini disjuntor  bipolar para a guarita de controle de acesso (25A);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3 Fusíveis retardados tipo NH 1 de 40 A com base completa para 40A;</w:t>
      </w:r>
    </w:p>
    <w:p>
      <w:pPr>
        <w:pStyle w:val="ListParagraph"/>
        <w:widowControl/>
        <w:numPr>
          <w:ilvl w:val="0"/>
          <w:numId w:val="29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</w:pPr>
      <w:r>
        <w:rPr>
          <w:rFonts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  <w:t>Instalação de 4 dispositivos DPS Classe I, 1 polo, tensão máxima 175V, corrente máxima 20 kA (Tipo AC) para proteção dos quadros;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caixa de equipotencialização de embutir 200 x 200, com tampa;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2 hastes de aterramento 5/8’’ com 3 metros.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A contratada deverá prever o caminhamento e a interligação do quadro principal com os quadros auxiliares, utilizando </w:t>
      </w:r>
      <w:r>
        <w:rPr>
          <w:rFonts w:eastAsia="" w:cs="Calibri" w:cstheme="minorHAnsi" w:eastAsiaTheme="majorEastAsia"/>
          <w:b/>
          <w:bCs/>
        </w:rPr>
        <w:t>eletrodutos corrugados de polietileno de alta densidade</w:t>
      </w:r>
      <w:r>
        <w:rPr>
          <w:rFonts w:eastAsia="" w:cs="Calibri" w:cstheme="minorHAnsi" w:eastAsiaTheme="majorEastAsia"/>
        </w:rPr>
        <w:t>, devidamente dimensionados, não menores que 40mm: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Enterrados a 50 cm da superfície do terreno acabado;</w:t>
      </w:r>
    </w:p>
    <w:p>
      <w:pPr>
        <w:pStyle w:val="ListParagraph"/>
        <w:numPr>
          <w:ilvl w:val="0"/>
          <w:numId w:val="3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Acompanhados de fita de advertência ao longo de todo o trecho de instalação;</w:t>
      </w:r>
    </w:p>
    <w:p>
      <w:pPr>
        <w:pStyle w:val="ListParagraph"/>
        <w:numPr>
          <w:ilvl w:val="0"/>
          <w:numId w:val="30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Intercalados por caixas de passagem em alvenaria, compatíveis ao volume de cabos, com tampa de concreto, permitindo inspeção, manutenção e expansão futura.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As peças gráficas e detalhamentos das instalações elétricas, incluindo plantas, cortes, esquemas unifilares e diagramas de ligação dos quadros;</w:t>
      </w:r>
    </w:p>
    <w:p>
      <w:pPr>
        <w:pStyle w:val="ListParagraph"/>
        <w:numPr>
          <w:ilvl w:val="0"/>
          <w:numId w:val="3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Memória de cálculo elétrico atendendo às NBRs vigentes, especialmente NBR 5410 (Instalações elétricas de baixa tensão) e normas aplicáveis de proteção contra sobrecorrente, aterramento e dispositivos de proteção;</w:t>
      </w:r>
    </w:p>
    <w:p>
      <w:pPr>
        <w:pStyle w:val="ListParagraph"/>
        <w:numPr>
          <w:ilvl w:val="0"/>
          <w:numId w:val="3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especificações técnicas dos materiais, procedimentos de instalação, interligações, aterramento, dispositivos de proteção e ensaios elétricos;</w:t>
      </w:r>
    </w:p>
    <w:p>
      <w:pPr>
        <w:pStyle w:val="ListParagraph"/>
        <w:numPr>
          <w:ilvl w:val="0"/>
          <w:numId w:val="3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 planilha orçamentária com todos os serviços de instalações elétricas,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3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 cronograma físico-financeiro contendo a etapa de execução das instalações elétricas como marco de referência obrigatório da obra.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val="auto"/>
          <w:sz w:val="24"/>
          <w:szCs w:val="24"/>
        </w:rPr>
      </w:pPr>
      <w:bookmarkStart w:id="8" w:name="_Toc211245192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3.2) PAVIMENTAÇÃO EXTERNA</w:t>
      </w:r>
      <w:bookmarkEnd w:id="8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do recapeamento das áreas existentes de pavimento asfáltico, considerando as adequações necessárias para a circulação e segurança, seguindo: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Aplicação de imprimação betuminosa ligante;</w:t>
      </w:r>
    </w:p>
    <w:p>
      <w:pPr>
        <w:pStyle w:val="ListParagraph"/>
        <w:numPr>
          <w:ilvl w:val="0"/>
          <w:numId w:val="3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aplicação de concreto asfáltico em camada de rolamento;</w:t>
      </w:r>
    </w:p>
    <w:p>
      <w:pPr>
        <w:pStyle w:val="ListParagraph"/>
        <w:numPr>
          <w:ilvl w:val="0"/>
          <w:numId w:val="32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Pintura e demarcações (sinalização horizontal).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3.2.1. </w:t>
      </w:r>
      <w:r>
        <w:rPr>
          <w:rFonts w:eastAsia="" w:cs="Calibri" w:cstheme="minorHAnsi" w:eastAsiaTheme="majorEastAsia"/>
        </w:rPr>
        <w:t>Observações de execução: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Esta etapa somente poderá ser executada após a implantação geral das instalações elétricas e do perímetro da quadra poliesportiva coberta;</w:t>
      </w:r>
    </w:p>
    <w:p>
      <w:pPr>
        <w:pStyle w:val="ListParagraph"/>
        <w:numPr>
          <w:ilvl w:val="0"/>
          <w:numId w:val="3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 contratada deverá propor, no projeto executivo, a demarcação de vagas de estacionamento para funcionários, bem como a sinalização horizontal do entorno da quadra e do acesso às áreas de estacionamento livre, quando necessário;</w:t>
      </w:r>
    </w:p>
    <w:p>
      <w:pPr>
        <w:pStyle w:val="ListParagraph"/>
        <w:numPr>
          <w:ilvl w:val="0"/>
          <w:numId w:val="3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 pintura de demarcação de vagas deverá ser realizada com tinta acrílica, atendendo às normas e padrões de visibilidade e segurança.</w:t>
      </w:r>
    </w:p>
    <w:p>
      <w:pPr>
        <w:pStyle w:val="ListParagraph"/>
        <w:numPr>
          <w:ilvl w:val="0"/>
          <w:numId w:val="3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Compatibilização com drenagem, acessos e demais elementos do projeto.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3.2.2. </w:t>
      </w: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e detalhamentos do pavimento, incluindo cortes, plantas e detalhes de aplicação;</w:t>
      </w:r>
    </w:p>
    <w:p>
      <w:pPr>
        <w:pStyle w:val="ListParagraph"/>
        <w:numPr>
          <w:ilvl w:val="0"/>
          <w:numId w:val="3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especificação dos materiais, procedimentos de execução e normas aplicáveis;</w:t>
      </w:r>
    </w:p>
    <w:p>
      <w:pPr>
        <w:pStyle w:val="ListParagraph"/>
        <w:numPr>
          <w:ilvl w:val="0"/>
          <w:numId w:val="3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pavimentação externa,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3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contendo a etapa de pavimentação externa como marco de referência obrigatório da obra.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val="auto"/>
          <w:sz w:val="24"/>
          <w:szCs w:val="24"/>
        </w:rPr>
      </w:pPr>
      <w:bookmarkStart w:id="9" w:name="_Toc211245193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3.3) ESTACIONAMENTO</w:t>
      </w:r>
      <w:bookmarkEnd w:id="9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3.3.1.</w:t>
      </w:r>
      <w:r>
        <w:rPr>
          <w:b/>
          <w:bCs/>
        </w:rPr>
        <w:t xml:space="preserve"> LASTRO E GRAMA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das áreas de estacionamento, circulação e dos canteiros, conforme delimitado no projeto de implantação fornecido, considerando as etapas a seguir: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Remoção mecanizada da camada vegetal, vegetação e pequenas árvores (diâmetro do tronco &lt; 0,20 m), utilizando trator de esteiras, garantindo a preparação do terreno para as etapas subsequentes;</w:t>
      </w:r>
    </w:p>
    <w:p>
      <w:pPr>
        <w:pStyle w:val="ListParagraph"/>
        <w:numPr>
          <w:ilvl w:val="0"/>
          <w:numId w:val="3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Definição das áreas destinadas a estacionamento, circulação, canteiros e áreas verdes;</w:t>
      </w:r>
    </w:p>
    <w:p>
      <w:pPr>
        <w:pStyle w:val="ListParagraph"/>
        <w:numPr>
          <w:ilvl w:val="0"/>
          <w:numId w:val="3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Aplicação de lastro com material granular (pedra britada nº 1 e nº 2), com espessura de 10 cm, nas áreas de estacionamento e circulação, garantindo permeabilidade natural do solo;</w:t>
      </w:r>
    </w:p>
    <w:p>
      <w:pPr>
        <w:pStyle w:val="ListParagraph"/>
        <w:numPr>
          <w:ilvl w:val="0"/>
          <w:numId w:val="3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Nivelamento, compactação e drenagem superficial do lastro, assegurando estabilidade e funcionalidade;</w:t>
      </w:r>
    </w:p>
    <w:p>
      <w:pPr>
        <w:pStyle w:val="ListParagraph"/>
        <w:numPr>
          <w:ilvl w:val="0"/>
          <w:numId w:val="3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Plantio de grama em placas nas áreas não utilizadas para circulação ou estacionamento;</w:t>
      </w:r>
    </w:p>
    <w:p>
      <w:pPr>
        <w:pStyle w:val="ListParagraph"/>
        <w:numPr>
          <w:ilvl w:val="0"/>
          <w:numId w:val="3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Utilização de guia (meio-fio) de concreto pré-fabricado para delimitação dos canteiros e do lastro, onde necessário;</w:t>
        <w:br/>
        <w:t>Preparo do solo, adubação e drenagem adequada nas áreas de plantio, garantindo enraizamento e crescimento saudável da grama.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8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3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e detalhamentos das áreas de lastro e grama, incluindo cortes, plantas e detalhes de execução;</w:t>
      </w:r>
    </w:p>
    <w:p>
      <w:pPr>
        <w:pStyle w:val="ListParagraph"/>
        <w:numPr>
          <w:ilvl w:val="0"/>
          <w:numId w:val="3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especificação dos materiais, procedimentos de execução e normas aplicáveis;</w:t>
      </w:r>
    </w:p>
    <w:p>
      <w:pPr>
        <w:pStyle w:val="ListParagraph"/>
        <w:numPr>
          <w:ilvl w:val="0"/>
          <w:numId w:val="3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preparação de terreno, lastro e plantio de grama,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36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contendo a etapa de execução do lastro e plantio de grama como marco de referência obrigatório da obra.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3.3.2. </w:t>
      </w:r>
      <w:r>
        <w:rPr>
          <w:b/>
          <w:bCs/>
        </w:rPr>
        <w:t>INSTALAÇÕES ELÉTRICAS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do sistema de distribuição elétrica do estacionamento e demais áreas externas, conforme detalhamento a seguir: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84"/>
        </w:numPr>
        <w:spacing w:lineRule="auto" w:line="360" w:before="0" w:after="0"/>
        <w:ind w:left="720"/>
        <w:rPr>
          <w:rFonts w:eastAsia="" w:cs="Calibri" w:cstheme="minorHAnsi" w:eastAsiaTheme="majorEastAsia"/>
          <w:b/>
          <w:bCs/>
        </w:rPr>
      </w:pPr>
      <w:r>
        <w:rPr>
          <w:rFonts w:eastAsia="" w:cs="Calibri" w:cstheme="minorHAnsi" w:eastAsiaTheme="majorEastAsia"/>
          <w:b/>
          <w:bCs/>
        </w:rPr>
        <w:t>Quadro de distribuição elétrica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br/>
        <w:t>A contratada deverá fornecer e instalar o quadro de distribuição, incluindo base e alvenaria de embutimento, conforme especificações: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Base do tipo radier em concreto armado, fck = 30 MPa, espessura 10 cm, utilizando formas em madeira serrada e armadas com tela Q-138, garantindo resistência e nivelamento adequados;</w:t>
      </w:r>
    </w:p>
    <w:p>
      <w:pPr>
        <w:pStyle w:val="ListParagraph"/>
        <w:numPr>
          <w:ilvl w:val="1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Alvenaria de embutimento em blocos cerâmicos furados na vertical (14 x 19 x 39 cm, espessura 14 cm), nas dimensões finais de 80 x 120 cm, em um tijolo de espessura;</w:t>
      </w:r>
    </w:p>
    <w:p>
      <w:pPr>
        <w:pStyle w:val="ListParagraph"/>
        <w:numPr>
          <w:ilvl w:val="1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Revestimentos: chapisco (traço 1:3), emboço (traço 1:2:8, espessura 17,5 mm) e massa única industrializada (espessura 5 mm), garantindo superfície regular;</w:t>
      </w:r>
    </w:p>
    <w:p>
      <w:pPr>
        <w:pStyle w:val="ListParagraph"/>
        <w:numPr>
          <w:ilvl w:val="1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Acabamento final com duas demãos de massa látex lixados manualmente e pintura látex acrílica premium, cor cinza claro;</w:t>
      </w:r>
    </w:p>
    <w:p>
      <w:pPr>
        <w:pStyle w:val="ListParagraph"/>
        <w:numPr>
          <w:ilvl w:val="1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Cimalha em concreto pré-moldado tipo pingadeira no topo da alvenaria, para proteção contra infiltrações e maior durabilidade;</w:t>
      </w:r>
    </w:p>
    <w:p>
      <w:pPr>
        <w:pStyle w:val="ListParagraph"/>
        <w:numPr>
          <w:ilvl w:val="1"/>
          <w:numId w:val="3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Quadro metálico em chapa de aço galvanizado, embutido, com barramento trifásico, capacidade para 12 disjuntores DIN até 100A, contendo:</w:t>
      </w:r>
    </w:p>
    <w:p>
      <w:pPr>
        <w:pStyle w:val="ListParagraph"/>
        <w:numPr>
          <w:ilvl w:val="2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disjuntor geral bipolar (32A);</w:t>
      </w:r>
    </w:p>
    <w:p>
      <w:pPr>
        <w:pStyle w:val="ListParagraph"/>
        <w:numPr>
          <w:ilvl w:val="2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2 disjuntores monopolar para postes de iluminação (16A);</w:t>
      </w:r>
    </w:p>
    <w:p>
      <w:pPr>
        <w:pStyle w:val="ListParagraph"/>
        <w:numPr>
          <w:ilvl w:val="2"/>
          <w:numId w:val="37"/>
        </w:numPr>
        <w:rPr/>
      </w:pPr>
      <w:r>
        <w:rPr>
          <w:rFonts w:eastAsia="" w:cs="Calibri" w:cstheme="minorHAnsi" w:eastAsiaTheme="majorEastAsia"/>
        </w:rPr>
        <w:t>Instalação de 4 dispositivos DPS Classe II, 1 polo, tensão máxima 175V, corrente máxima 20 kA (Tipo AC) para proteção dos quadros;</w:t>
      </w:r>
    </w:p>
    <w:p>
      <w:pPr>
        <w:pStyle w:val="ListParagraph"/>
        <w:numPr>
          <w:ilvl w:val="2"/>
          <w:numId w:val="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1 haste de aterramento em aço cobreado, 5/8", 3 m, conectada ao quadro.</w:t>
      </w:r>
    </w:p>
    <w:p>
      <w:pPr>
        <w:pStyle w:val="ListParagraph"/>
        <w:numPr>
          <w:ilvl w:val="2"/>
          <w:numId w:val="3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execução deverá seguir rigorosamente a ABNT NBR 5410 e demais normas aplicáveis, garantindo fornecimento de todos os materiais, equipamentos, ferramentas e mão de obra qualificada.</w:t>
      </w:r>
    </w:p>
    <w:p>
      <w:pPr>
        <w:pStyle w:val="ListParagraph"/>
        <w:spacing w:lineRule="auto" w:line="360" w:before="0" w:after="0"/>
        <w:ind w:left="216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37"/>
        </w:numPr>
        <w:spacing w:lineRule="auto" w:line="360" w:before="0" w:after="0"/>
        <w:ind w:left="720"/>
        <w:rPr/>
      </w:pPr>
      <w:r>
        <w:rPr>
          <w:rFonts w:eastAsia="" w:cs="Calibri" w:cstheme="minorHAnsi" w:eastAsiaTheme="majorEastAsia"/>
          <w:b/>
          <w:bCs/>
          <w:color w:val="auto"/>
          <w:kern w:val="2"/>
          <w:sz w:val="24"/>
          <w:szCs w:val="24"/>
          <w:lang w:val="pt-BR" w:eastAsia="en-US" w:bidi="ar-SA"/>
        </w:rPr>
        <w:t>Eletrodutos, cabos e caixa</w:t>
      </w:r>
      <w:r>
        <w:rPr>
          <w:rFonts w:eastAsia="" w:cs="Calibri" w:cstheme="minorHAnsi" w:eastAsiaTheme="majorEastAsia"/>
          <w:b/>
          <w:bCs/>
        </w:rPr>
        <w:t>s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br/>
        <w:t>A contratada deverá executar a rede elétrica subterrânea para alimentação dos postes de iluminação do estacionamento: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Eletrodutos em polietileno de alta densidade corrugados, dimensionados conforme os cabos, não menores que 40mm;</w:t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Enterrados manualmente a profundidade mínima de 50 cm, com proteção mecânica e durabilidade;</w:t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Fita de advertência para rede elétrica enterrada aplicada ao longo de toda a extensão;</w:t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Reaterro manual com compactação por placa vibratória;</w:t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Caixas de passagem em alvenaria com tampa em concreto e acabamento compatível;</w:t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Cabos: HEPR (0,6/1,0 kV) para interligação subterrânea, cabos isolados em PVC (450/750 V) nos postes para alimentação dos projetores;</w:t>
      </w:r>
    </w:p>
    <w:p>
      <w:pPr>
        <w:pStyle w:val="ListParagraph"/>
        <w:numPr>
          <w:ilvl w:val="1"/>
          <w:numId w:val="3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Dimensionamento conforme ABNT NBR 5410, garantindo identificação, terminação adequada e estanqueidade entre caixas, eletrodutos e postes.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  <w:b/>
          <w:bCs/>
        </w:rPr>
      </w:pPr>
      <w:r>
        <w:rPr>
          <w:rFonts w:eastAsia="" w:cs="Calibri" w:cstheme="minorHAnsi" w:eastAsiaTheme="majorEastAsia"/>
          <w:b/>
          <w:bCs/>
        </w:rPr>
      </w:r>
    </w:p>
    <w:p>
      <w:pPr>
        <w:pStyle w:val="Normal"/>
        <w:numPr>
          <w:ilvl w:val="0"/>
          <w:numId w:val="37"/>
        </w:numPr>
        <w:spacing w:lineRule="auto" w:line="360" w:before="0" w:after="0"/>
        <w:ind w:left="720"/>
        <w:rPr/>
      </w:pPr>
      <w:r>
        <w:rPr>
          <w:rFonts w:eastAsia="" w:cs="Calibri" w:cstheme="minorHAnsi" w:eastAsiaTheme="majorEastAsia"/>
          <w:b/>
          <w:bCs/>
        </w:rPr>
        <w:t>Postes e luminárias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0"/>
        <w:rPr>
          <w:rFonts w:eastAsia="" w:cs="Calibri" w:cstheme="minorHAnsi" w:eastAsiaTheme="majorEastAsia"/>
          <w:b/>
          <w:bCs/>
        </w:rPr>
      </w:pPr>
      <w:r>
        <w:rPr/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br/>
        <w:t>A contratada deverá instalar postes de iluminação pública e luminárias: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3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Postes de aço cônico contínuo, 9 m de altura, engastamento simples de 1 m, fixados conforme normas vigentes;</w:t>
      </w:r>
    </w:p>
    <w:p>
      <w:pPr>
        <w:pStyle w:val="ListParagraph"/>
        <w:numPr>
          <w:ilvl w:val="1"/>
          <w:numId w:val="3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Cada poste com 1 haste de aterramento de 3 m, 5/8", em aço cobreado, conectada ao sistema;</w:t>
      </w:r>
    </w:p>
    <w:p>
      <w:pPr>
        <w:pStyle w:val="ListParagraph"/>
        <w:numPr>
          <w:ilvl w:val="1"/>
          <w:numId w:val="3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Cada poste com 4 luminárias LED (240 W a 350 W), ajustadas para iluminação uniforme;</w:t>
      </w:r>
    </w:p>
    <w:p>
      <w:pPr>
        <w:pStyle w:val="ListParagraph"/>
        <w:numPr>
          <w:ilvl w:val="1"/>
          <w:numId w:val="3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execução deve observar ABNT NBR 5410 e demais normas, garantindo segurança, durabilidade e manutenção adequada.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4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e detalhamentos do quadro, eletrodutos, cabos e postes, incluindo cortes, plantas e esquemas elétricos;</w:t>
      </w:r>
    </w:p>
    <w:p>
      <w:pPr>
        <w:pStyle w:val="ListParagraph"/>
        <w:numPr>
          <w:ilvl w:val="1"/>
          <w:numId w:val="4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especificação dos materiais, procedimentos de instalação e normas aplicáveis;</w:t>
      </w:r>
    </w:p>
    <w:p>
      <w:pPr>
        <w:pStyle w:val="ListParagraph"/>
        <w:numPr>
          <w:ilvl w:val="1"/>
          <w:numId w:val="4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Memória de cálculo elétrico atendendo às NBRs vigentes, especialmente NBR 5410 (Instalações elétricas de baixa tensão) e normas aplicáveis de proteção contra sobrecorrente, aterramento e dispositivos de proteção;</w:t>
      </w:r>
    </w:p>
    <w:p>
      <w:pPr>
        <w:pStyle w:val="ListParagraph"/>
        <w:numPr>
          <w:ilvl w:val="1"/>
          <w:numId w:val="4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distribuição elétrica, com quantificação e precificação baseada em composições SINAPI/SICRO (ou outras bases oficiais, quando aplicável);</w:t>
      </w:r>
    </w:p>
    <w:p>
      <w:pPr>
        <w:pStyle w:val="ListParagraph"/>
        <w:numPr>
          <w:ilvl w:val="1"/>
          <w:numId w:val="40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contendo a execução das instalações elétricas externas como marco de referência obrigatório da obra.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0" w:name="_Toc211245194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3.4) GUARITA DE ACESSO</w:t>
      </w:r>
      <w:bookmarkEnd w:id="10"/>
    </w:p>
    <w:p>
      <w:pPr>
        <w:pStyle w:val="Normal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1" w:name="_Toc21124519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a) SERVIÇOS PRELIMINARES</w:t>
      </w:r>
      <w:bookmarkEnd w:id="11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considerar, em sua proposta técnica e orçamentária, a execução integral de todos os serviços preliminares, seguindo a ordem de execução abaixo: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Remoção de portas: No projeto executivo a ser apresentado, a contratada deverá detalhar a remoção da porta existente;</w:t>
      </w:r>
    </w:p>
    <w:p>
      <w:pPr>
        <w:pStyle w:val="ListParagraph"/>
        <w:numPr>
          <w:ilvl w:val="0"/>
          <w:numId w:val="7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Demolição de paredes: No projeto executivo a ser apresentado, a contratada deverá detalhar parcial das alvenarias existentes para implantação da nova estrutura;</w:t>
      </w:r>
    </w:p>
    <w:p>
      <w:pPr>
        <w:pStyle w:val="ListParagraph"/>
        <w:numPr>
          <w:ilvl w:val="0"/>
          <w:numId w:val="7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Demolição de revestimentos: No projeto executivo a ser apresentado, a contratada deverá detalhar se haverá necessidade de demolição integral ou parcial dos revestimentos existentes para implantação da nova estrutura;</w:t>
      </w:r>
    </w:p>
    <w:p>
      <w:pPr>
        <w:pStyle w:val="ListParagraph"/>
        <w:numPr>
          <w:ilvl w:val="0"/>
          <w:numId w:val="76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Demolição de piso: No projeto executivo a ser apresentado, a contratada deverá detalhar se haverá necessidade de demolição integral ou parcial dos revestimentos e pisos existentes para implantação da nova estrutura;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contemplando a demolição e a reorganização do espaço para a nova implantação da quadra, incluindo medidas de segurança, logística de transporte, gestão de resíduos e mitigação de impactos ambientais;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detalhando todos os serviços da etapa de demolição, com quantificação e precificação baseada em composições SINAPI/SICRO (ou outras bases oficiais quando aplicável);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etapa de demolição como evento inicial obrigatório da obra;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Metodologia executiva dos serviços, contemplando equipamentos a serem empregados, medidas de segurança, controle tecnológico e gestão de resíduos.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2" w:name="_Toc21124519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b) ELEMENTOS DE VEDAÇÃO</w:t>
      </w:r>
      <w:bookmarkEnd w:id="12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 em sua proposta a execução integral das vedações verticais contemplando a utilização de blocos cerâmicos bem como vergas e contra vergas. Todos os serviços deverão ser executados em conformidade com as normas técnicas aplicáveis, utilizando materiais de primeira qualidade, mão de obra qualificada e controle tecnológico de acordo com o que segue: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alvenaria de vedação em blocos cerâmicos furados na vertical, assentados com argamassa preparada em betoneira, garantindo travamento adequado e juntas niveladas;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vergas pré-moldadas em concreto, com até 1,5 m de vão livre, espessura 20 cm, posicionadas sobre vãos de portas e janelas, garantindo resistência e distribuição uniforme dos esforços;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Fornecimento e instalação de contra vergas pré-moldadas em concreto, espessura 20 cm, devidamente posicionadas sob os vãos de esquadrias, assegurando estabilidade estrutural e acabamento;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 e detalhes construtivos das alvenarias;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materiais (alvenarias, vergas e contra vergas), métodos de execução, juntas de movimentação e acabamentos;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previstas;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vedação,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as etapas de execução das vedações em compatibilização com fundações, estrutura e instalações;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vedações com esquadrias, instalações elétricas, hidráulicas e demais sistemas construtivos, garantindo plena integração da obra;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conforto e qualidade final dos elementos de vedação.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3" w:name="_Toc211245197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c) REVESTIMENTOS INTERNOS E EXTERNOS - PAREDES, VIGAS E PILARES</w:t>
      </w:r>
      <w:bookmarkEnd w:id="13"/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revestimento interno e externo em paredes, vigas e pilares, obedecendo rigorosamente às normas da ABNT, às boas práticas construtivas e às recomendações dos fabricantes dos materiais empregados. O objetivo é assegurar a aderência, o desempenho estético e funcional, a durabilidade e a resistência dos elementos de vedação e estruturais.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Chapisco: aplicação manual em alvenarias e estruturas de concreto internas, utilizando argamassa traço 1:3, preparada em betoneira de 400L, garantindo aderência adequada para as camadas subsequentes de emboço ou massa única.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Emboço: execução em paredes internas de ambientes com área maior que 10 m², utilizando argamassa traço 1:2:8, com espessura média de 17,5 mm, aplicada manualmente com o auxílio de taliscas, assegurando o nivelamento e o prumo da base.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Massa única: aplicação em paredes internas com argamassa industrializada, com preparo mecânico, espessura média de 5 mm, aplicada com equipamento de mistura e projeção, dispensando o uso de taliscas, garantindo acabamento uniforme e adequado para receber pintura ou revestimento cerâmico.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revestimento deverão contemplar preparo adequado das bases, execução de juntas de movimentação e dessolidarização, tratamento de cantos e arremates, além da perfeita compatibilização com esquadrias, instalações elétricas e hidráulicas.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elevações e detalhes construtivos das áreas de revestimento, indicando paginação, cores e dimensões dos revestimentos cerâmicos;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com especificações técnicas de todos os revestimentos (chapisco, emboço, massa única e cerâmicas), métodos de preparo e aplicação, juntas, arremates e acabamentos;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argamassa, cerâmicas e demais materiais, compatibilizados com as áreas de vedação e estrutura;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revestimento, quantificados e precificados com base em composições SINAPI/SICRO (ou outras bases oficiais aplicáveis);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dos revestimentos em compatibilização com fundações, estrutura, impermeabilizações, vedações e instalações prediais;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a durabilidade, segurança, qualidade estética e funcionalidade dos revestimentos internos e externos.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4" w:name="_Toc21124519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d) REVESTIMENTOS INTERNOS - PISOS</w:t>
      </w:r>
      <w:bookmarkEnd w:id="14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revestimento de pisos internos na guarita e nas áreas de apoio administrativo, obedecendo rigorosamente às normas da ABNT, às boas práticas construtivas e às recomendações dos fabricantes dos materiais empregados. O objetivo é assegurar a aderência, o desempenho funcional, a durabilidade e a resistência dos pisos, bem como o correto escoamento das águas nas áreas molhadas.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Contrapiso em argamassa pronta (2 cm): aplicação manual sobre impermeabilização, com espessura média de 2 cm, garantindo caimento, sem acúmulo de água;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Revestimento cerâmico esmaltado (45 x 45 cm): assentamento das placas cerâmicas esmaltadas nos pisos, em todos os ambientes definidos em projeto, obedecendo à paginação, alinhamento e nivelamento corretos, garantindo resistência mecânica, impermeabilidade e facilidade de manutenção;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Rodapé cerâmico esmaltado: assentamento das placas cerâmicas esmaltadas nas paredes, em perímetro interno, garantindo resistência mecânica, impermeabilidade e facilidade de manutenção;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revestimento de pisos deverão contemplar preparo adequado das bases, execução de juntas de movimentação e dessolidarização, tratamento de cantos e arremates, além da perfeita compatibilização com impermeabilizações, vedações e instalações prediais.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elevações e detalhes construtivos das áreas de piso, indicando caimentos, paginação, cores e dimensões dos revestimentos cerâmicos;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com especificações técnicas de contrapiso, cerâmicas e rodapés, métodos de preparo e aplicação, juntas, arremates e acabamentos;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argamassa, cerâmicas e demais materiais, compatibilizados com contrapiso, impermeabilização e estrutura;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revestimento de pisos, quantificados e precificados com base em composições SINAPI/SICRO (ou outras bases oficiais aplicáveis);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dos revestimentos de piso em compatibilização com fundações, estrutura, impermeabilizações, vedações e instalações prediais;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a durabilidade, segurança, qualidade estética e funcionalidade dos pisos internos.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5" w:name="_Toc21124519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e) ESQUADRIAS</w:t>
      </w:r>
      <w:bookmarkEnd w:id="15"/>
    </w:p>
    <w:p>
      <w:pPr>
        <w:pStyle w:val="ListParagraph"/>
        <w:spacing w:lineRule="auto" w:line="360" w:before="0" w:after="0"/>
        <w:contextualSpacing/>
        <w:rPr/>
      </w:pPr>
      <w:r>
        <w:rPr/>
      </w:r>
    </w:p>
    <w:p>
      <w:pPr>
        <w:pStyle w:val="ListParagraph"/>
        <w:numPr>
          <w:ilvl w:val="0"/>
          <w:numId w:val="85"/>
        </w:numPr>
        <w:spacing w:lineRule="auto" w:line="360" w:before="0" w:after="0"/>
        <w:contextualSpacing/>
        <w:rPr>
          <w:u w:val="single"/>
        </w:rPr>
      </w:pPr>
      <w:r>
        <w:rPr>
          <w:u w:val="single"/>
        </w:rPr>
        <w:t>PORTAS:</w:t>
      </w:r>
    </w:p>
    <w:p>
      <w:pPr>
        <w:pStyle w:val="ListParagraph"/>
        <w:spacing w:lineRule="auto" w:line="360" w:before="0" w:after="0"/>
        <w:contextualSpacing/>
        <w:rPr/>
      </w:pPr>
      <w:r>
        <w:rPr/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acabamento de portas e portões, obedecendo rigorosamente às normas da ABNT, às boas práticas construtivas e às recomendações dos fabricantes dos materiais empregados. O objetivo é assegurar funcionalidade, resistência, durabilidade, estética e acessibilidade, quando aplicável.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Porta em chapa de alumínio tipo veneziana (PA6 – 110 x 210 cm): fornecimento e instalação das portas conforme dimensões e tipo indicado, incluindo guarnições e fixação com parafusos, pintura com tinta alquídica de acabamento (esmalte sintético brilhante) em duas demãos. 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portas e portões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prévia das aberturas, alinhamento e nivelamento;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Ajustes finos para garantir fechamento correto, estanqueidade e segurança;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com rodapés, revestimentos, vedações, paredes e demais elementos construtivos;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contra danos durante a execução de outros serviços;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acessibilidade, quando aplicável, e conformidade com normas de segurança e ergonomia.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u w:val="single"/>
        </w:rPr>
      </w:pPr>
      <w:r>
        <w:rPr>
          <w:u w:val="single"/>
        </w:rPr>
      </w:r>
    </w:p>
    <w:p>
      <w:pPr>
        <w:pStyle w:val="ListParagraph"/>
        <w:widowControl/>
        <w:numPr>
          <w:ilvl w:val="0"/>
          <w:numId w:val="85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Calibri" w:cs="" w:asciiTheme="minorHAnsi" w:cstheme="minorBidi" w:eastAsiaTheme="minorHAnsi" w:hAnsi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</w:pPr>
      <w:r>
        <w:rPr>
          <w:rFonts w:eastAsia="Calibri" w:cs="" w:cstheme="minorBidi" w:eastAsia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  <w:t>JANELAS: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acabamento de janelas, obedecendo rigorosamente às normas da ABNT, às boas práticas construtivas e às recomendações dos fabricantes dos materiais empregados. O objetivo é assegurar funcionalidade, resistência, durabilidade, estanqueidade, ventilação adequada, estética e acessibilidade, quando aplicável.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Janelas de alumínio de 3 folhas tipo veneziana (JA-04 – 100 x 100 cm): fornecimento e instalação de janelas de alumínio, incluindo vidros, batente e ferragens, conforme dimensões indicadas em projeto. As janelas deverão ser fornecidas com peitoris lineares em granito ou mármore, com largura de 15 cm e espessura de 2 cm, assentados com argamassa traço 1:6 com aditivo.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elevações e detalhes construtivos das portas e portões, indicando dimensões, tipos, cores, posição das guarnições, fechaduras, tarjas e barras de apoio;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todos os elementos de esquadria (madeira, alumínio, acessórios), métodos de instalação, fixação, pintura e acabamentos;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portas, janelas, portões, batentes, fechaduras, soleiras e demais materiais, compatibilizados com as vedações e estruturas;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portas e portões,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portas e portões em compatibilização com revestimentos, pisos, impermeabilizações, vedações e instalações prediais;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qualidade estética e funcionalidade das portas e portões.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6" w:name="_Toc211245200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f) PINTURAS</w:t>
      </w:r>
      <w:bookmarkEnd w:id="16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emassamento e pintura em tetos, paredes internas e externas, bem como pintura de pisos, obedecendo rigorosamente às normas da ABNT, às boas práticas construtivas e às recomendações dos fabricantes dos materiais empregados. O objetivo é assegurar uniformidade, acabamento estético, durabilidade, resistência e proteção das superfícies tratadas.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Emassamento em tetos: aplicação de massa látex em duas demãos, com lixamento manual entre camadas, garantindo superfícies regulares e prontas para receber pintura final.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Emassamento em paredes: aplicação de massa látex em duas demãos, com lixamento manual, assegurando aderência, nivelamento e preparo adequado para a pintura subsequente.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Pintura de tetos: aplicação manual de tinta látex acrílico premium em duas demãos, sobre superfícies previamente emassadas e lixadas, garantindo acabamento uniforme e cobertura total.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Pintura de paredes internas e externas: aplicação manual de tinta látex acrílico premium em duas demãos, nas cores branco gelo e cinza claro, sobre superfícies preparadas (paredes, pilares, cobogós e outros), garantindo durabilidade, resistência à lavagem e boa estética.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pintura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Preparo adequado das superfícies, proteção de elementos construtivos adjacentes, execução de cantos e arremates, tratamento de juntas e perfeita compatibilização com revestimentos, esquadrias, portas, janelas e demais sistemas construtivos.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5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elevações e detalhes construtivos indicando as áreas de aplicação da pintura, cores, tipos de tinta, número de demãos e acabamento.</w:t>
      </w:r>
    </w:p>
    <w:p>
      <w:pPr>
        <w:pStyle w:val="ListParagraph"/>
        <w:numPr>
          <w:ilvl w:val="0"/>
          <w:numId w:val="5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produtos empregados, métodos de aplicação, preparo de superfícies e acabamentos.</w:t>
      </w:r>
    </w:p>
    <w:p>
      <w:pPr>
        <w:pStyle w:val="ListParagraph"/>
        <w:numPr>
          <w:ilvl w:val="0"/>
          <w:numId w:val="5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massa, tinta e demais materiais compatibilizados com áreas de tetos, paredes e pisos.</w:t>
      </w:r>
    </w:p>
    <w:p>
      <w:pPr>
        <w:pStyle w:val="ListParagraph"/>
        <w:numPr>
          <w:ilvl w:val="0"/>
          <w:numId w:val="5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pintura, quantificados e precificados com base em composições SINAPI/SICRO (ou outras bases oficiais aplicáveis).</w:t>
      </w:r>
    </w:p>
    <w:p>
      <w:pPr>
        <w:pStyle w:val="ListParagraph"/>
        <w:numPr>
          <w:ilvl w:val="0"/>
          <w:numId w:val="5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pinturas em compatibilização com revestimentos, portas, janelas, pisos, vedações, impermeabilizações e demais etapas construtivas.</w:t>
      </w:r>
    </w:p>
    <w:p>
      <w:pPr>
        <w:pStyle w:val="ListParagraph"/>
        <w:numPr>
          <w:ilvl w:val="0"/>
          <w:numId w:val="5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qualidade estética, funcionalidade e segurança das superfícies pintadas.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7" w:name="_Toc211245201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g) INSTALAÇÕES ELÉTRICAS</w:t>
      </w:r>
      <w:bookmarkEnd w:id="17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ensaios das instalações elétricas de baixa tensão, obedecendo rigorosamente às normas da ABNT (NBR 5410, NBR 5419, NBR 13570, entre outras), às boas práticas construtivas e às recomendações dos fabricantes. O objetivo é assegurar segurança, durabilidade, desempenho, funcionalidade e acessibilidade do sistema elétrico.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Quadro metálico em chapa de aço galvanizado, embutido, com barramento trifásico, capacidade para 12 disjuntores DIN até 100A, contendo: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disjuntor geral bipolar (20A);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1 disjuntor bipolar para ar condicionado (16A);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2 disjuntores monopolares (10A) para tomadas e iluminação;</w:t>
      </w:r>
    </w:p>
    <w:p>
      <w:pPr>
        <w:pStyle w:val="ListParagraph"/>
        <w:numPr>
          <w:ilvl w:val="2"/>
          <w:numId w:val="68"/>
        </w:numPr>
        <w:rPr/>
      </w:pPr>
      <w:r>
        <w:rPr>
          <w:rFonts w:eastAsia="" w:cs="Calibri" w:cstheme="minorHAnsi" w:eastAsiaTheme="majorEastAsia"/>
        </w:rPr>
        <w:t>Instalação de 4 dispositivos DPS Classe II, 1 polo, tensão máxima 175V, corrente máxima 20 kA (Tipo AC) para proteção dos quadros;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1 haste de aterramento em aço cobreado, 5/8", 3 m, conectada ao quadro.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execução deverá seguir rigorosamente a ABNT NBR 5410 e demais normas aplicáveis, garantindo fornecimento de todos os materiais, equipamentos, ferramentas e mão de obra qualificada.</w:t>
      </w:r>
    </w:p>
    <w:p>
      <w:pPr>
        <w:pStyle w:val="ListParagraph"/>
        <w:widowControl/>
        <w:numPr>
          <w:ilvl w:val="0"/>
          <w:numId w:val="78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</w:pPr>
      <w:r>
        <w:rPr>
          <w:rFonts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  <w:t>Eletrodutos, caixas e cabeamento: Fornecimento e instalação de eletrodutos flexíveis corrugados reforçados em PVC para embutimento em lajes e paredes, com todos os acessórios de fixação e vedação. Execução de caixas de passagem e derivação em ferro estampado ou PVC (retangulares, octogonais e 4"x4"), instaladas em diferentes alturas conforme função (baixa, média ou alta).</w:t>
        <w:br/>
        <w:t>Fornecimento e lançamento de cabos de cobre flexível isolados, anti-chama 450/750 V, devidamente identificados e compatibilizados com os quadros, disjuntores e circuitos terminais.</w:t>
      </w:r>
    </w:p>
    <w:p>
      <w:pPr>
        <w:pStyle w:val="ListParagraph"/>
        <w:numPr>
          <w:ilvl w:val="0"/>
          <w:numId w:val="7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Iluminação, tomadas e dispositivos: Fornecimento e instalação de pontos de iluminação interna, incluindo luminárias tipo plafon circular LED de sobrepor (12/13 W), além de blocos autônomos de iluminação de emergência com autonomia mínima de 3 h.</w:t>
      </w:r>
    </w:p>
    <w:p>
      <w:pPr>
        <w:pStyle w:val="ListParagraph"/>
        <w:numPr>
          <w:ilvl w:val="0"/>
          <w:numId w:val="7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Fornecimento e instalação de interruptores simples (1 módulo, 10 A/250 V) completos com suporte e placa, bem como tomadas 2P+T de 10 A/250 V, devidamente distribuídas e compatibilizadas com as necessidades de uso e mobiliário e um ar condicionado split inverter de 9000 BTUs.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Lançamento, organização e fixação dos eletrodutos e cabos;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Conexões, derivações, cravações e interligações elétricas;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Identificação de circuitos e dispositivos de proteção;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continuidade, resistência de isolamento, funcionamento e desempenho luminotécnico;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elétricas com estrutura, arquitetura, hidráulica, climatização e demais sistemas prediais;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instalações contra danos durante a execução de outros serviços;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diagramas unifilares e esquemas elétricos atualizados, indicando traçados, cargas, circuitos, quadros e dispositivos de proteção;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materiais (quadros, disjuntores, DPS, eletrodutos, caixas, cabos, luminárias e tomadas), métodos de instalação e ensaios;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de demanda, dimensionamento de condutores e dispositivos de proteção, queda de tensão e curto-circuito, conforme normas aplicáveis;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elétricos,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instalações elétricas em compatibilização com fundações, estrutura, vedações, impermeabilizações e acabamentos;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funcionalidade, segurança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8" w:name="_Toc211245202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h) SISTEMA DE PROTEÇÃO CONTRA INCÊNDIO</w:t>
      </w:r>
      <w:bookmarkEnd w:id="18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instalação, ensaio e comissionamento do sistema de proteção contra incêndio, atendendo rigorosamente às normas da ABNT, às boas práticas construtivas, aos requisitos do Corpo de Bombeiros e às recomendações dos fabricantes. O objetivo é garantir segurança, funcionalidade, confiabilidade, durabilidade e desempenho adequado de todo o sistema de prevenção, detecção e combate a incêndio.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Iluminação de emergência e sinalização: fornecimento e instalação de luminárias de emergência LED, blocos autônomos de iluminação com autonomia mínima de 3 horas, fluxo luminoso entre 2.000 e 3.000 lúmens, equipados com faróis de sinalização e placas fotoluminescentes de PVC indicando rotas de evacuação e saídas de emergência, incluindo fixações e ensaios funcionais.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sistema de proteção contra incêndio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instalação;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Testes de operação dos dispositivos de iluminação;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instalados contra danos durante a execução de outros serviços;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Garantia de acessibilidade, segurança operacional e manutenção facilitada.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indicando localização de luminárias de emergência e placas de sinalização;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componentes, métodos de instalação, ensaios e testes;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 compatibilizados com arquitetura, estrutura e normas de prevenção de incêndio;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do sistema de proteção contra incêndio,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dos serviços em compatibilização com fundações, estrutura, vedações, revestimentos, esquadrias e acabamentos;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desempenho e atendimento às normas técnicas e de prevenção de incêndio.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19" w:name="_Toc211245203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i) SERVIÇOS COMPLEMENTARES E FINAIS</w:t>
      </w:r>
      <w:bookmarkEnd w:id="19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limpeza final da obra, abrangendo áreas internas e externas, obedecendo às normas de segurança, boas práticas de higiene e conservação, garantindo ambientes limpos, livres de resíduos de construção e prontos para uso.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Remoção de entulhos e resíduos: coleta, segregação e destinação adequada de restos de materiais de construção, embalagens, restos de tintas, colas e outros resíduos, conforme normas ambientais vigentes e legislação local;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Limpeza de superfícies: lavagem, aspiração e higienização de pisos, paredes, forros, vidros, portas, janelas e outras superfícies, utilizando produtos e equipamentos adequados para não danificar os acabamentos;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Limpeza de equipamentos e instalações: remoção de sujeiras, pó e resíduos de sistemas elétricos, hidráulicos, luminárias, ar-condicionado e demais equipamentos instalados, garantindo funcionamento correto e preservação;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Tratamento de áreas externas: varrição, lavagem e retirada de entulhos de áreas externas, calçadas, estacionamentos, rampas e jardins, garantindo segurança e estética do entorno;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Serviços complementares: eliminação de manchas, resíduos de adesivos, graxas ou tintas, polimento de superfícies metálicas e vidros, desinfecção de sanitários e áreas comuns, assegurando entrega da obra em condições ideais de uso.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Planejamento e preparação dos locais de limpeza;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de materiais e acabamentos durante a execução da limpeza;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Coleta, transporte e destinação final de resíduos conforme legislação ambiental;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 limpeza com demais sistemas prediais e acabamentos;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áreas acessíveis, seguras e prontas para utilização imediata;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Emissão de relatórios de serviços executados e registros de descarte de resíduos.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Plano detalhado de limpeza final da obra, com métodos, produtos e equipamentos a serem utilizados;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das etapas de limpeza, indicando responsabilidades e critérios de inspeção;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 limpeza em compatibilização com entrega de áreas, conclusão de obras e acabamentos;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Relatórios de coleta, segregação e destinação final de resíduos, comprovando atendimento às normas ambientais;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 e conservação, garantindo segurança, qualidade e atendimento às normas de higiene e desempenho.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"/>
        </w:numPr>
        <w:spacing w:lineRule="auto" w:line="360" w:before="0" w:after="0"/>
        <w:contextualSpacing/>
        <w:rPr>
          <w:rStyle w:val="Ttulo1Char"/>
          <w:rFonts w:ascii="Calibri" w:hAnsi="Calibri" w:cs="Calibri" w:asciiTheme="minorHAnsi" w:cstheme="minorHAnsi" w:hAnsiTheme="minorHAnsi"/>
          <w:b/>
          <w:bCs/>
          <w:color w:val="auto"/>
          <w:sz w:val="28"/>
          <w:szCs w:val="28"/>
        </w:rPr>
      </w:pPr>
      <w:bookmarkStart w:id="20" w:name="_Toc211245204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t>QUADRA POLIESPORTIVA COBERTA</w:t>
      </w:r>
      <w:bookmarkEnd w:id="20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1" w:name="_Toc21124520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4.1) SERVIÇOS PRELIMINARES</w:t>
      </w:r>
      <w:bookmarkEnd w:id="21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considerar, em sua proposta técnica e orçamentária, a execução integral de todos os serviços preliminares, seguindo a ordem de execução abaixo: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7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da Placa de Obra: A contratada deverá instalar imediatamente após a mobilização inicial uma placa de obra, com dimensões de 4,00 x 1,50 m, contendo obrigatoriamente as informações principais da obra, incluindo valor e prazo de execução, os dados da contratada, como razão social, nome do responsável técnico e informações de contato. A placa deverá seguir o modelo fornecido pela Administração.</w:t>
      </w:r>
    </w:p>
    <w:p>
      <w:pPr>
        <w:pStyle w:val="ListParagraph"/>
        <w:numPr>
          <w:ilvl w:val="1"/>
          <w:numId w:val="7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Demolição da Estrutura Existente: No projeto executivo a ser apresentado, a contratada deverá detalhar a demolição integral das estruturas existentes no local da futura quadra poliesportiva coberta conforme projeto de implantação, incluindo: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2"/>
          <w:numId w:val="4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Estrutura metálica existente: desmontagem e retirada integral da cobertura metálica, acondicionamento e transporte para o Pátio Centralizador de Serviços da Administração, visando reaproveitamento futuro;</w:t>
      </w:r>
    </w:p>
    <w:p>
      <w:pPr>
        <w:pStyle w:val="ListParagraph"/>
        <w:numPr>
          <w:ilvl w:val="2"/>
          <w:numId w:val="4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Demolição de concreto armado: pilares, vigas e lajes, executadas mecanicamente, sem reaproveitamento;</w:t>
      </w:r>
    </w:p>
    <w:p>
      <w:pPr>
        <w:pStyle w:val="ListParagraph"/>
        <w:numPr>
          <w:ilvl w:val="2"/>
          <w:numId w:val="4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Demolição de alvenaria e pisos: execução mecanizada, sem reaproveitamento;</w:t>
      </w:r>
    </w:p>
    <w:p>
      <w:pPr>
        <w:pStyle w:val="ListParagraph"/>
        <w:numPr>
          <w:ilvl w:val="2"/>
          <w:numId w:val="4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Edificação administrativa existente (ADM): demolição mecanizada integral, exceto alvenarias da divisa, garantindo novo acesso de veículos e implantação do layout;</w:t>
      </w:r>
    </w:p>
    <w:p>
      <w:pPr>
        <w:pStyle w:val="ListParagraph"/>
        <w:numPr>
          <w:ilvl w:val="2"/>
          <w:numId w:val="4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Transporte de entulho: todo entulho deverá ser coletado, removido e transportado para o Aterro de Resíduos Sólidos da Prefeitura Municipal;</w:t>
      </w:r>
    </w:p>
    <w:p>
      <w:pPr>
        <w:pStyle w:val="ListParagraph"/>
        <w:numPr>
          <w:ilvl w:val="2"/>
          <w:numId w:val="4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Manutenção de muros divisórios: preservação das estruturas existentes, com reforço e/ou reforma</w:t>
      </w:r>
    </w:p>
    <w:p>
      <w:pPr>
        <w:pStyle w:val="ListParagraph"/>
        <w:spacing w:lineRule="auto" w:line="360" w:before="0" w:after="0"/>
        <w:ind w:left="216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7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  <w:t>Locação da Obra:</w:t>
      </w:r>
      <w:r>
        <w:rPr>
          <w:rFonts w:eastAsia="" w:cs="Calibri" w:cstheme="minorHAnsi" w:eastAsiaTheme="majorEastAsia"/>
        </w:rPr>
        <w:t xml:space="preserve"> A contratada deverá prever todos os custos para fornecimento e instalação de tábuas e gabaritos, necessários à execução dos serviços de fundação e estrutura.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9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contemplando a demolição e a reorganização do espaço para a nova implantação da quadra, incluindo medidas de segurança, logística de transporte, gestão de resíduos e mitigação de impactos ambientais;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detalhando todos os serviços da etapa de demolição, com quantificação e precificação baseada em composições SINAPI/SICRO (ou outras bases oficiais quando aplicável);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etapa de demolição como evento inicial obrigatório da obra;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Metodologia executiva dos serviços, contemplando equipamentos a serem empregados, medidas de segurança, controle tecnológico e gestão de resíduos.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2" w:name="_Toc21124520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4.2) SERVIÇOS EM TERRA</w:t>
      </w:r>
      <w:bookmarkEnd w:id="22"/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em sua proposta técnica e orçamentária, todos os serviços e etapas necessárias para a execução das escavações, considerando a quantidade e os custos dos serviços listados com base nos itens da SINAPI.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que comprovem as quantidades aferidas;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detalhando todos os serviços de escavação, com quantificação e precificação baseada em composições SINAPI/SICRO (ou outras bases oficiais quando aplicável);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evidenciando a execução das etapas de escavação, preparo de fundo e reaterro;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Metodologia executiva dos serviços, contemplando equipamentos a serem empregados, medidas de segurança, controle tecnológico e gestão de resíduos;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Compatibilização do projeto executivo com os serviços de fundação e estrutura, assegurando coerência entre memoriais, desenhos e orçamentos.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3" w:name="_Toc211245207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4.3) FUNDAÇÕES – BLOCOS E ESTACAS</w:t>
      </w:r>
      <w:bookmarkEnd w:id="23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às fundações da obra, considerando a melhor solução para o perfil de terreno encontrado.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Estacas para atingir cota com capacidade de suporte da estrutura;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bloco de coroamento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Lastro de concreto magro, aplicado em blocos de coroamento ou sapatas.;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dos blocos e das estacas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Concretagem dos blocos e das estacas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4" w:name="_Toc21124520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4.4) FUNDAÇÕES – VIGAS BALDRAME</w:t>
      </w:r>
      <w:bookmarkEnd w:id="24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às vigas baldrames da obra considerando a melhor solução para a estrutura e o perfil de terreno encontrado.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viga baldrame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Lastro de concreto magro, aplicado em blocos de coroamento ou sapatas.;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das vigas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das vigas com uso de bomba, lançamento, adensamento e acabamento.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5" w:name="_Toc21124520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4.5) SUPERESTRUTURA – PILARES</w:t>
      </w:r>
      <w:bookmarkEnd w:id="25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aos pilares de concreto da obra considerando a melhor solução para a estrutura projetada.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5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pilares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dos pilares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dos pilares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6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6" w:name="_Toc211245210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4.6) SUPERESTRUTURA – VIGAS</w:t>
      </w:r>
      <w:bookmarkEnd w:id="26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as vigas de concreto da obra considerando a melhor solução para a estrutura projetada.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7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vigas de concreto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das vigas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das vigas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8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7" w:name="_Toc211245211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4.7) SUPERESTRUTURA – LAJES</w:t>
      </w:r>
      <w:bookmarkEnd w:id="27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as lajes de concreto da obra considerando a melhor solução para a estrutura projetada.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9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lajes de concreto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das lajes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das lajes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0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8" w:name="_Toc211245212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4.8) SUPERESTRUTURA – PISOS</w:t>
      </w:r>
      <w:bookmarkEnd w:id="28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ao piso de concreto polido da quadra poliesportiva, e do piso de concreto dos vestiários/apoio considerando a melhor solução construtiva para a durabilidade e o desempenho da estrutura. Deverá também realizar o dimensionamento dos elementos conforme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Compactação mecânica do solo, garantindo estabilidade e evitando recalques diferenciais;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Fabricação, montagem e desmontagem de fôrmas laterais em madeira reaproveitável;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lastro em material granular, com espessura de 5 cm, devidamente compactado;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Aplicação de lona plástica, com sobreposição mínima de 20 cm;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da armadura em tela de aço soldada Q-138 e Q-92, apoiada sobre treliças metálicas que funcionam como espaçadores, garantindo cobrimento;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e posicionamento das barras de transferência em aço CA-25 de 16 mm, aplicando graxa em metade do comprimento, conforme norma;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Concretagem do piso estrutural em concreto fck = 30 MPa, espessura de 12 cm, com lançamento, adensamento mecânico e acabamento polido com desempenadeira mecânica tipo “helicóptero”;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dos cortes para juntas de retração/dilatação com cortadora a disco diamantado, conforme projeto;</w:t>
      </w:r>
    </w:p>
    <w:p>
      <w:pPr>
        <w:pStyle w:val="ListParagraph"/>
        <w:numPr>
          <w:ilvl w:val="0"/>
          <w:numId w:val="2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Aplicação de selante elástico monocomponente à base de poliuretano (PU) nas juntas de dilatação.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2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ListParagraph"/>
        <w:numPr>
          <w:ilvl w:val="0"/>
          <w:numId w:val="2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As considerações adotadas para o dimensionamento e a memória de cálculo para verificação dos resultados alcançados;</w:t>
      </w:r>
    </w:p>
    <w:p>
      <w:pPr>
        <w:pStyle w:val="ListParagraph"/>
        <w:numPr>
          <w:ilvl w:val="0"/>
          <w:numId w:val="2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O memorial executivo com as recomendações de execução baseado nas NBRs vigentes e boas práticas da construção;</w:t>
      </w:r>
    </w:p>
    <w:p>
      <w:pPr>
        <w:pStyle w:val="ListParagraph"/>
        <w:numPr>
          <w:ilvl w:val="0"/>
          <w:numId w:val="2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 planilha orçamentária com todos os serviços do piso,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26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 cronograma físico-financeiro contendo a etapa de execução do piso de concreto como marco de referência obrigatório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29" w:name="_Toc211245213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4.9) SUPERESTRUTURA – ESTRUTURA METÁLICA</w:t>
      </w:r>
      <w:bookmarkEnd w:id="29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à estrutura metálica da quadra poliesportiva, composta por pilares, treliças e elementos de apoio para a fixação da testeira (fechamento lateral em chapa metálica). Deverá também realizar o dimensionamento estrutural conforme as NBRs vigentes, garantindo estabilidade, segurança e durabilidade.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2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Fornecimento, fabricação e montagem da estrutura metálica em aço ASTM-A36, compreendendo pilares, treliças principais e secundárias, bem como as estruturas de apoio para a testeira metálica;</w:t>
      </w:r>
    </w:p>
    <w:p>
      <w:pPr>
        <w:pStyle w:val="ListParagraph"/>
        <w:numPr>
          <w:ilvl w:val="0"/>
          <w:numId w:val="2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dimensional em obra, incluindo ajustes necessários para garantir o perfeito prumo, nivelamento e alinhamento dos elementos;</w:t>
      </w:r>
    </w:p>
    <w:p>
      <w:pPr>
        <w:pStyle w:val="ListParagraph"/>
        <w:numPr>
          <w:ilvl w:val="0"/>
          <w:numId w:val="2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das conexões metálicas por meio de soldas, parafusos ou chumbadores, conforme projeto executivo;</w:t>
      </w:r>
    </w:p>
    <w:p>
      <w:pPr>
        <w:pStyle w:val="ListParagraph"/>
        <w:numPr>
          <w:ilvl w:val="0"/>
          <w:numId w:val="2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Tratamento das superfícies e aplicação de pintura com esmalte alquídico em toda a estrutura metálica, garantindo a proteção contra agentes atmosféricos;</w:t>
      </w:r>
    </w:p>
    <w:p>
      <w:pPr>
        <w:pStyle w:val="ListParagraph"/>
        <w:numPr>
          <w:ilvl w:val="0"/>
          <w:numId w:val="2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Previsão de pontos de apoio e reforços para a fixação das chapas metálicas da testeira, conforme detalhamento de projeto.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As peças gráficas e detalhamentos de fabricação e montagem, incluindo plantas, cortes e isométricos da estrutura;</w:t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Memória de cálculo estrutural atendendo às NBRs vigentes, especialmente as normas de estruturas de aço (NBR 8800) e cargas de vento (NBR 6123);</w:t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especificações técnicas de montagem, soldagem, fixações e pintura;</w:t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 planilha orçamentária com todos os serviços da estrutura metálica,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 cronograma físico-financeiro contendo a etapa de execução da estrutura metálica como marco de referência obrigatório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0" w:name="_Toc211245214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4.10) SUPERESTRUTURA – COBERTURA, TELHAS E FECHAMENTOS</w:t>
      </w:r>
      <w:bookmarkEnd w:id="30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em sua proposta técnica e orçamentária, a execução integral de todos os serviços relacionados à cobertura da quadra poliesportiva e fechamento lateral (testeiras), considerando a melhor solução técnica e o atendimento às normas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telhas onduladas de fibra de vidro, espessura 0,6 mm, para telhado com inclinação superior a 10°, até 2 águas, incluindo içamento e fixações, garantindo iluminação natural adequada;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telhas metálicas em aço ou alumínio, espessura 0,5 mm, para cobertura principal e testeiras, incluindo içamento, fixação e alinhamento;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Pintura das telhas metálicas da cobertura e testeiras com tinta alquídica (esmalte sintético acetinado), aplicada em duas demãos, observando a face externa e interna conforme especificado, garantindo durabilidade e acabamento uniforme. observando cores externas especificadas (amarelo claro e azul claro) quando aplicável;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Execução de cumeeira em chapa de aço pré-pintada, perfil trapezoidal, espessura 0,5 mm, com fixações adequadas para cobertura;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calhas em chapa de aço galvanizado, nº 24, desenvolvimento 100 cm, com transporte vertical e fixação segura;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Fornecimento e fixação de cantoneiras e perfis metálicos para arremates e fechamento lateral, incluindo pintura com tinta alquídica em duas demãos, observando cores externas especificadas (amarelo claro e azul claro);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Verificação e ajuste de alinhamento, nivelamento, sobreposição de telhas e fechamento completo das águas e testeiras, garantindo estanqueidade e resistência ao vento e intempéries;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Controle de compatibilização com a estrutura metálica, pórticos e treliças, assegurando integridade estrutural e facilidade de manutenção futura.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 e detalhes construtivos das coberturas, testeiras, cumeeiras, calhas e arremates;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especificações técnicas de fabricação, montagem, fixação, içamento e pintura, incluindo métodos de aplicação, número de demãos e cores;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contendo todos os serviços de cobertura e fechamento,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contemplando a execução da cobertura e fechamento como marco de referência da obra;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Mensuração das quantidades, detalhamento de todas as etapas e justificativa técnica para compatibilização com a estrutura metálica existente e demais sistemas da quadra.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1" w:name="_Toc21124521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4.11) ELEMENTOS DE VEDAÇÃO</w:t>
      </w:r>
      <w:bookmarkEnd w:id="31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 em sua proposta a execução integral das vedações verticais, internas e externas, contemplando a utilização de blocos cerâmicos, elementos vazados, placas cimentícias e sistemas em chapas de gesso (drywall), bem como vergas e contra vergas. Todos os serviços deverão ser executados em conformidade com as normas técnicas aplicáveis, utilizando materiais de primeira qualidade, mão de obra qualificada e controle tecnológico de acordo com o que segue: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alvenaria de vedação com elementos vazados de concreto (cobogó), assentados com argamassa preparada em betoneira, garantindo estabilidade, prumo e alinhamento;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alvenaria de vedação em blocos cerâmicos furados na vertical, assentados com argamassa preparada em betoneira, garantindo travamento adequado e juntas niveladas;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vergas pré-moldadas em concreto, com até 1,5 m de vão livre, espessura 20 cm, posicionadas sobre vãos de portas e janelas, garantindo resistência e distribuição uniforme dos esforços;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contra vergas pré-moldadas em concreto, espessura 20 cm, devidamente posicionadas sob os vãos de esquadrias, assegurando estabilidade estrutural e acabamento;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fechamento em placas cimentícias, espessura 10 mm, fixadas sobre estrutura adequada, com juntas tratadas, garantindo estabilidade, durabilidade e resistência à umidade;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paredes internas em sistema drywall, chapas de gesso simples, uso interno, com estrutura metálica em guias simples, sem vãos, garantindo prumo, alinhamento e acabamento superficial uniforme;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 e detalhes construtivos das alvenarias, cobogós, placas cimentícias e paredes em drywall;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materiais (blocos, placas, chapas, vergas e contra vergas), métodos de execução, juntas de movimentação e acabamentos;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previstas;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vedação,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as etapas de execução das vedações em compatibilização com fundações, estrutura e instalações;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vedações com esquadrias, instalações elétricas, hidráulicas e demais sistemas construtivos, garantindo plena integração da obra;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conforto e qualidade final dos elementos de vedação.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2" w:name="_Toc21124521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4.12) IMPERMEABILIZAÇÕES</w:t>
      </w:r>
      <w:bookmarkEnd w:id="32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impermeabilização conforme as boas práticas construtivas, observando rigorosamente as normas técnicas pertinentes da ABNT e garantindo a estanqueidade e a durabilidade das estruturas protegidas. Deverão ser empregados materiais de primeira qualidade, compatíveis com as superfícies a serem tratadas e com comprovação de desempenho técnico por meio de fichas técnicas e certificados de conformidade. A execução compreenderá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48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Impermeabilização das fundações: aplicação de emulsão asfáltica em duas demãos contínuas e uniformes sobre blocos de fundação e vigas baldrame, devidamente limpos e secos, assegurando a proteção contra a umidade ascendente do solo.</w:t>
      </w:r>
    </w:p>
    <w:p>
      <w:pPr>
        <w:pStyle w:val="Normal"/>
        <w:numPr>
          <w:ilvl w:val="0"/>
          <w:numId w:val="48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Impermeabilização do piso dos vestiários: aplicação de emulsão asfáltica em duas demãos sobre o piso de concreto estrutural, contemplando a regularização prévia da superfície, o tratamento de juntas e a devida proteção mecânica antes da execução dos revestimentos finais.</w:t>
      </w:r>
    </w:p>
    <w:p>
      <w:pPr>
        <w:pStyle w:val="Normal"/>
        <w:numPr>
          <w:ilvl w:val="0"/>
          <w:numId w:val="48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Impermeabilização das paredes dos vestiários: aplicação de emulsão asfáltica em duas demãos, até a altura mínima de 1,50 m a partir do piso acabado, abrangendo todo o perímetro interno das áreas molhadas (boxes, sanitários e demais superfícies sujeitas a respingos e lavagens frequentes).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apresentar, previamente à execução, a metodologia detalhada do sistema impermeabilizante a ser adotado, incluindo a preparação das superfícies, a sequência de execução das demãos, os equipamentos e ferramentas a serem empregados, as medidas de proteção e cura entre etapas, bem como as inspeções de aderência, uniformidade e estanqueidade.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Adicionalmente, a contratada deverá apresentar obrigatoriamente: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 e detalhes construtivos indicando claramente as áreas de aplicação da impermeabilização em fundações, pisos e paredes, com marcação das alturas, limites e juntas de tratamento;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detalhado, com especificações técnicas dos materiais impermeabilizantes (tipo de emulsão asfáltica, número de demãos, consumo por m²), métodos de aplicação, preparo de superfícies, proteção mecânica e procedimentos de cura;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Memorial de cálculo das quantidades previstas para cada frente de impermeabilização (fundações, pisos e paredes), compatibilizadas com os quantitativos de concreto, alvenaria e revestimentos;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Planilha orçamentária com todos os serviços de impermeabilização, quantificados e precificados com base em composições SINAPI/SICRO (ou outras bases oficiais aplicáveis);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prevendo a execução das impermeabilizações em compatibilização com fundações, pisos, paredes e etapas subsequentes de revestimento e acabamento;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qualidade e prevenção de patologias como infiltrações, destacamentos e bolores.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3" w:name="_Toc211245217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4.13) REVESTIMENTOS INTERNOS E EXTERNOS - PAREDES, VIGAS E PILARES</w:t>
      </w:r>
      <w:bookmarkEnd w:id="33"/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revestimento interno e externo em paredes, vigas e pilares, obedecendo rigorosamente às normas da ABNT, às boas práticas construtivas e às recomendações dos fabricantes dos materiais empregados. O objetivo é assegurar a aderência, o desempenho estético e funcional, a durabilidade e a resistência dos elementos de vedação e estruturais.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0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Chapisco: aplicação manual em alvenarias e estruturas de concreto internas, utilizando argamassa traço 1:3, preparada em betoneira de 400L, garantindo aderência adequada para as camadas subsequentes de emboço ou massa única.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Emboço: execução em paredes internas de ambientes com área maior que 10 m², utilizando argamassa traço 1:2:8, com espessura média de 17,5 mm, aplicada manualmente com o auxílio de taliscas, assegurando o nivelamento e o prumo da base.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Massa única: aplicação em paredes internas dos vestiários e salas de apoio com argamassa industrializada, com preparo mecânico, espessura média de 5 mm, aplicada com equipamento de mistura e projeção, dispensando o uso de taliscas, garantindo acabamento uniforme e adequado para receber pintura ou revestimento cerâmico.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Revestimento cerâmico esmaltado (33 x 45 cm): assentamento de placas cerâmicas esmaltadas em paredes internas, aplicadas em toda a altura das superfícies definidas em projeto, garantindo resistência, impermeabilidade e fácil manutenção.</w:t>
      </w:r>
    </w:p>
    <w:p>
      <w:pPr>
        <w:pStyle w:val="Normal"/>
        <w:numPr>
          <w:ilvl w:val="0"/>
          <w:numId w:val="10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Revestimento cerâmico esmaltado extra (5 x 5 cm): assentamento de placas cerâmicas nas cores amarela, azul e cinza claro, em paredes internas, conforme projeto arquitetônico, atendendo às especificações de layout, paginação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revestimento deverão contemplar preparo adequado das bases, execução de juntas de movimentação e dessolidarização, tratamento de cantos e arremates, além da perfeita compatibilização com esquadrias, instalações elétricas e hidráulicas.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05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elevações e detalhes construtivos das áreas de revestimento, indicando paginação, cores e dimensões dos revestimentos cerâmicos;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com especificações técnicas de todos os revestimentos (chapisco, emboço, massa única e cerâmicas), métodos de preparo e aplicação, juntas, arremates e acabamentos;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argamassa, cerâmicas e demais materiais, compatibilizados com as áreas de vedação e estrutura;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revestimento, quantificados e precificados com base em composições SINAPI/SICRO (ou outras bases oficiais aplicáveis);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prevendo a execução dos revestimentos em compatibilização com fundações, estrutura, impermeabilizações, vedações e instalações prediais;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a durabilidade, segurança, qualidade estética e funcionalidade dos revestimentos internos e externos.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4" w:name="_Toc21124521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4.14) REVESTIMENTOS INTERNOS - PISOS</w:t>
      </w:r>
      <w:bookmarkEnd w:id="34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revestimento de pisos internos nos vestiários e nas áreas de apoio administrativo, obedecendo rigorosamente às normas da ABNT, às boas práticas construtivas e às recomendações dos fabricantes dos materiais empregados. O objetivo é assegurar a aderência, o desempenho funcional, a durabilidade e a resistência dos pisos, bem como o correto escoamento das águas nas áreas molhadas.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Contrapiso em argamassa pronta – áreas gerais (4 cm): aplicação manual sobre a impermeabilização, garantindo regularização e nivelamento da superfície, com espessura média de 4 cm. O contrapiso deverá prever caimentos adequados para os ralos, evitando qualquer empossamento ou acúmulo de água fora da proximidade dos ralos;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Contrapiso em argamassa pronta – áreas de chuveiros (2 cm): aplicação manual sobre impermeabilização, com espessura média de 2 cm, garantindo caimento para os ralos, sem acúmulo de água;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Revestimento cerâmico esmaltado (45 x 45 cm): assentamento das placas cerâmicas esmaltadas nos pisos, em todos os ambientes definidos em projeto, obedecendo à paginação, alinhamento e nivelamento corretos, garantindo resistência mecânica, impermeabilidade e facilidade de manutenção;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Rodapé cerâmico (7 cm de altura): aplicação nas áreas administrativas e sala dos professores, com placas cerâmicas do mesmo tipo do piso, garantindo uniformidade estética e proteção das superfícies verticais.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Todos os serviços de revestimento de pisos deverão contemplar preparo adequado das bases, execução de juntas de movimentação e dessolidarização, tratamento de cantos e arremates, além da perfeita compatibilização com impermeabilizações, vedações e instalações prediais.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07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elevações e detalhes construtivos das áreas de piso, indicando caimentos, paginação, cores e dimensões dos revestimentos cerâmicos;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com especificações técnicas de contrapiso, cerâmicas e rodapés, métodos de preparo e aplicação, juntas, arremates e acabamentos;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argamassa, cerâmicas e demais materiais, compatibilizados com contrapiso, impermeabilização e estrutura;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revestimento de pisos, quantificados e precificados com base em composições SINAPI/SICRO (ou outras bases oficiais aplicáveis);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dos revestimentos de piso em compatibilização com fundações, estrutura, impermeabilizações, vedações e instalações prediais;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a durabilidade, segurança, qualidade estética e funcionalidade dos pisos internos.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5" w:name="_Toc21124521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4.15) ESQUADRIAS</w:t>
      </w:r>
      <w:bookmarkEnd w:id="35"/>
    </w:p>
    <w:p>
      <w:pPr>
        <w:pStyle w:val="ListParagraph"/>
        <w:spacing w:lineRule="auto" w:line="360" w:before="0" w:after="0"/>
        <w:contextualSpacing/>
        <w:rPr/>
      </w:pPr>
      <w:r>
        <w:rPr/>
      </w:r>
    </w:p>
    <w:p>
      <w:pPr>
        <w:pStyle w:val="ListParagraph"/>
        <w:numPr>
          <w:ilvl w:val="0"/>
          <w:numId w:val="86"/>
        </w:numPr>
        <w:spacing w:lineRule="auto" w:line="360" w:before="0" w:after="0"/>
        <w:contextualSpacing/>
        <w:rPr>
          <w:u w:val="single"/>
        </w:rPr>
      </w:pPr>
      <w:r>
        <w:rPr>
          <w:u w:val="single"/>
        </w:rPr>
        <w:t>PORTAS:</w:t>
      </w:r>
    </w:p>
    <w:p>
      <w:pPr>
        <w:pStyle w:val="ListParagraph"/>
        <w:spacing w:lineRule="auto" w:line="360" w:before="0" w:after="0"/>
        <w:contextualSpacing/>
        <w:rPr/>
      </w:pPr>
      <w:r>
        <w:rPr/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acabamento de portas e portões, obedecendo rigorosamente às normas da ABNT, às boas práticas construtivas e às recomendações dos fabricantes dos materiais empregados. O objetivo é assegurar funcionalidade, resistência, durabilidade, estética e acessibilidade, quando aplicável.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Portas de madeira para pintura (PM2A – 100 x 200 cm): fornecimento de kit de porta semioca, padrão médio, com espessura de 3,5 cm, incluindo dobradiças, montagem e instalação do batente, fechadura com execução do furo e soleira em granito de 15 cm de largura por 2 cm de espessura. Aplicação de pintura em esmalte sintético sobre todas as superfícies de madeira em duas demãos. Inclusão de chapa de proteção e barra de apoio em tubo de aço inoxidável de 1 1/4" x 400 mm, conforme projeto de acessibilidade.</w:t>
      </w:r>
    </w:p>
    <w:p>
      <w:pPr>
        <w:pStyle w:val="ListParagraph"/>
        <w:numPr>
          <w:ilvl w:val="0"/>
          <w:numId w:val="5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Portas em chapa de alumínio tipo veneziana (PA1 – 220 x 218 + 108 cm, PA2 – 130 x 210 cm, PA3 – 80 x 165 cm, PA4 – 70 x 165 cm, PA5 – 100 x 0,65 cm): fornecimento e instalação das portas conforme dimensões e tipo indicado, incluindo guarnições e fixação com parafusos, pintura com tinta alquídica de acabamento (esmalte sintético brilhante) em duas demãos. As portas de banheiro (PA3 e PA4) deverão receber tarjetas tipo livre/ocupado. AS portas PA1 E PA2 deverão ter soleiras em granito de 15 cm de largura por 2 cm de espessura deverão ser aplicadas conforme projeto.</w:t>
      </w:r>
    </w:p>
    <w:p>
      <w:pPr>
        <w:pStyle w:val="ListParagraph"/>
        <w:numPr>
          <w:ilvl w:val="0"/>
          <w:numId w:val="5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Portão de correr em chapa tipo painel lambril quadrado: fornecimento e instalação, incluindo porta social completa, requadro, acabamento natural, trilhos e roldanas conforme projeto de esquadrias.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portas e portões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0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prévia das aberturas, alinhamento e nivelamento;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Ajustes finos para garantir fechamento correto, estanqueidade e segurança;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com rodapés, revestimentos, vedações, paredes e demais elementos construtivos;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contra danos durante a execução de outros serviços;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acessibilidade, quando aplicável, e conformidade com normas de segurança e ergonomia.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widowControl/>
        <w:numPr>
          <w:ilvl w:val="0"/>
          <w:numId w:val="86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Calibri" w:cs="" w:asciiTheme="minorHAnsi" w:cstheme="minorBidi" w:eastAsiaTheme="minorHAnsi" w:hAnsi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</w:pPr>
      <w:r>
        <w:rPr>
          <w:rFonts w:eastAsia="Calibri" w:cs="" w:cstheme="minorBidi" w:eastAsia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  <w:t>JANELAS: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acabamento de janelas, obedecendo rigorosamente às normas da ABNT, às boas práticas construtivas e às recomendações dos fabricantes dos materiais empregados. O objetivo é assegurar funcionalidade, resistência, durabilidade, estanqueidade, ventilação adequada, estética e acessibilidade, quando aplicável.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Janelas de alumínio tipo maximar (JA-02 – 120 x 60 cm): fornecimento e instalação de janelas de alumínio, incluindo vidros, batente e ferragens, conforme dimensões indicadas em projeto. As janelas deverão ser fornecidas com peitoris lineares em granito ou mármore, com largura de 15 cm e espessura de 2 cm, assentados com argamassa traço 1:6 com aditivo.</w:t>
      </w:r>
    </w:p>
    <w:p>
      <w:pPr>
        <w:pStyle w:val="ListParagraph"/>
        <w:numPr>
          <w:ilvl w:val="0"/>
          <w:numId w:val="5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Janelas de alumínio tipo fixo (JA-03 – 40 x 150 cm): fornecimento e instalação de janelas de alumínio fixas, incluindo vidros, batente e ferragens, conforme dimensões indicadas em projeto. As janelas deverão ser fornecidas com peitoris lineares em granito ou mármore, com largura de 15 cm e espessura de 2 cm, assentados com argamassa traço 1:6 com aditivo.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elevações e detalhes construtivos das portas e portões, indicando dimensões, tipos, cores, posição das guarnições, fechaduras, tarjas e barras de apoio;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todos os elementos de esquadria (madeira, alumínio, acessórios), métodos de instalação, fixação, pintura e acabamentos;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portas, janelas, portões, batentes, fechaduras, soleiras e demais materiais, compatibilizados com as vedações e estruturas;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portas e portões,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portas e portões em compatibilização com revestimentos, pisos, impermeabilizações, vedações e instalações prediais;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qualidade estética e funcionalidade das portas e portões.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6" w:name="_Toc211245220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4.16) PINTURAS</w:t>
      </w:r>
      <w:bookmarkEnd w:id="36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emassamento e pintura em tetos, paredes internas e externas, bem como pintura de pisos, obedecendo rigorosamente às normas da ABNT, às boas práticas construtivas e às recomendações dos fabricantes dos materiais empregados. O objetivo é assegurar uniformidade, acabamento estético, durabilidade, resistência e proteção das superfícies tratadas.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Emassamento em tetos: aplicação de massa látex em duas demãos, com lixamento manual entre camadas, garantindo superfícies regulares e prontas para receber pintura final.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Emassamento em paredes: aplicação de massa látex em duas demãos, com lixamento manual, assegurando aderência, nivelamento e preparo adequado para a pintura subsequente.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Pintura de tetos: aplicação manual de tinta látex acrílico premium em duas demãos, sobre superfícies previamente emassadas e lixadas, garantindo acabamento uniforme e cobertura total.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Pintura de paredes internas e externas: aplicação manual de tinta látex acrílico premium em duas demãos, nas cores branco gelo, cinza claro e azul claro, sobre superfícies preparadas (paredes, pilares, cobogós e outros), garantindo durabilidade, resistência à lavagem e boa estética.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Pintura de pisos: aplicação manual de tinta epóxi em duas demãos, incluindo primer epóxi, garantindo uniformidade, resistência mecânica e química, e acabamento contínuo sem falhas ou irregularidades.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 xml:space="preserve">Esmalte à base de água em massa: aplicação nas placas cimentícias conforme especificações, incluindo preparo da superfície, uniformidade e acabamento final. 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pintura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Preparo adequado das superfícies, proteção de elementos construtivos adjacentes, execução de cantos e arremates, tratamento de juntas e perfeita compatibilização com revestimentos, esquadrias, portas, janelas e demais sistemas construtivos.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elevações e detalhes construtivos indicando as áreas de aplicação da pintura, cores, tipos de tinta, número de demãos e acabamento.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produtos empregados, métodos de aplicação, preparo de superfícies e acabamentos.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massa, tinta e demais materiais compatibilizados com áreas de tetos, paredes e pisos.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pintura, quantificados e precificados com base em composições SINAPI/SICRO (ou outras bases oficiais aplicáveis).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pinturas em compatibilização com revestimentos, portas, janelas, pisos, vedações, impermeabilizações e demais etapas construtivas.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qualidade estética, funcionalidade e segurança das superfícies pintadas.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7" w:name="_Toc211245221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4.17) INSTALAÇÕES HIDRÁULICAS</w:t>
      </w:r>
      <w:bookmarkEnd w:id="37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testes das instalações hidráulicas, obedecendo rigorosamente às normas da ABNT, às boas práticas construtivas e às recomendações dos fabricantes dos materiais empregados. O objetivo é assegurar funcionalidade, estanqueidade, durabilidade, segurança e desempenho adequado do sistema de abastecimento de água fria.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Tubos e conexões em PVC soldável: fornecimento e instalação de tubos de 25 mm, 40 mm, 50 mm, 60 mm e 75 mm, aplicados em prumadas e ramais de água, incluindo todos os acessórios (luvas, buchas de redução curtas e longas, joelhos 45° e 90°, joelhos com bucha de latão, adaptadores com bolsa e rosca, adaptadores com flanges, tês e tês de redução), conforme dimensões, traçados e especificações de projeto.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Registros: fornecimento e instalação de registros de esfera em PVC, registros de gaveta em latão (3/4”, 1.1/2” e 2.1/2”) e registros de pressão, incluindo acabamento cromado e canopla, quando aplicável;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Reservatórios prediais: fornecimento e instalação de caixa d’água em poliéster reforçado com fibra de vidro para reserva de incêndio (20.000 L) e caixa d’água em polietileno (3.000 L), incluindo todos os acessórios de fixação, conexões, vedação e ensaio de estanqueidade.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Dispositivos complementares: fornecimento e instalação de torneira de boia para caixas d’água (3/4”), incluindo ajuste de nível, regulagem e ensaio funcional.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instalações hidráulicas deverão contemplar: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montagem;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Corte, lixamento, soldagem química e interligação de tubos e conexões;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estanqueidade e verificação de pressão conforme normas técnicas;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hidráulicas com estrutura, vedações, esquadrias, impermeabilizações e demais sistemas prediais;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tubulações e registros contra danos durante a execução de outros serviços;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detalhes construtivos e esquemas isométricos das redes hidráulicas, indicando diâmetros, materiais, traçados, registros, caixas e reservatórios;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detalhado, com especificações técnicas de todos os tubos, conexões, registros e reservatórios, métodos de instalação, testes e ensaios;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materiais hidráulicos (tubos, conexões, registros, reservatórios e acessórios), compatibilizados com a arquitetura e estrutura;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instalações hidráulicas, quantificados e precificados com base em composições SINAPI/SICRO (ou outras bases oficiais aplicáveis);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das instalações hidráulicas em compatibilização com fundações, estrutura, impermeabilizações, vedações, esquadrias e acabamentos;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estanqueidade, segurança, qualidade funcional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8" w:name="_Toc211245222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4.18) INSTALAÇÕES SANITÁRIAS</w:t>
      </w:r>
      <w:bookmarkEnd w:id="38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testes das instalações sanitárias, obedecendo rigorosamente às normas da ABNT, às boas práticas construtivas e às recomendações dos fabricantes dos materiais empregados. O objetivo é assegurar funcionalidade, estanqueidade, durabilidade, segurança e desempenho adequado do sistema de esgoto e águas pluviais.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Tubos e conexões em PVC: fornecimento e instalação de tubos de esgoto predial (DN 40, 50, 75mm e 100 mm), aplicados em ramais, sub-ramais e prumadas, incluindo todos os acessórios necessários (joelhos 45° e 90°, tês, tês de redução, junções, curvas curtas e longas, reduções excêntricas e buchas de redução), conforme dimensões, traçados e especificações de projeto. Todas as uniões deverão contemplar juntas elásticas ou soldáveis, conforme a série do tubo e indicação do projeto.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Caixas sifonadas e caixas de inspeção: fornecimento e instalação de caixas sifonadas em PVC, com grelha redonda ou quadrada, incluindo caixas enterradas retangulares distribuidoras de vazão (sumidouros múltiplos), conforme dimensões e especificações do projeto.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Terminais de ventilação: fornecimento e instalação de terminais de ventilação em PVC para ramais de esgoto e prumadas de águas pluviais, incluindo adaptação de diâmetros e junções necessárias para o correto funcionamento da ventilação predial.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instalações sanitárias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montagem;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Corte, lixamento, interligação e colagem/soldagem química de tubos e conexões;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estanqueidade, teste de fluxo e verificação de escoamento conforme normas técnicas;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sanitárias com estrutura, vedações, revestimentos, impermeabilizações, esquadrias e demais sistemas prediais;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tubulações, caixas e conexões contra danos durante a execução de outros serviços;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Plantas, cortes, detalhes construtivos e esquemas isométricos das redes sanitárias, indicando diâmetros, materiais, traçados, caixas sifonadas, caixas de inspeção e terminais de ventilação;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Memorial descritivo detalhado, com especificações técnicas de todos os tubos, conexões, caixas, grelhas e acessórios, métodos de instalação, testes e ensaios;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Memorial de cálculo das quantidades de materiais sanitários (tubos, conexões, caixas, grelhas e acessórios), compatibilizados com a arquitetura e estrutura;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Planilha orçamentária com todos os serviços de instalações sanitárias,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prevendo a execução das instalações sanitárias em compatibilização com fundações, estrutura, impermeabilizações, vedações, esquadrias e acabamentos;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estanqueidade, segurança, qualidade funcional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39" w:name="_Toc211245223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4.19) COMPLEMENTOS HIDROSSANITÁRIOS</w:t>
      </w:r>
      <w:bookmarkEnd w:id="39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 e instalação dos complementos hidrossanitários, obedecendo rigorosamente às normas da ABNT, às boas práticas construtivas e às recomendações dos fabricantes dos materiais empregados. O objetivo é assegurar funcionalidade, durabilidade, segurança, acessibilidade e desempenho adequado de todos os dispositivos complementares nos vestiários, banheiros e áreas de apoio.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Bancos: fornecimento e instalação de bancos em alvenaria revestidos com cerâmica;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Bancadas, cubas e lavatórios: bancadas de granito para instalação de cubas, espessura de 2 cm, incluindo acabamento e fixação adequada, cubas de embutir em louça branca (35 x 50 cm), lavatórios para PCD, sifões flexíveis, engates flexíveis, torneiras cromadas de mesa com temporizador ou monocomando, válvulas e metal cromado e espelhos cristal com parafusos de fixação;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Vasos sanitários e mictórios: fornecimento e instalação de vasos sanitários sifonados convencionais, mictórios sifonados em louça branca e acessórios complementares de fixação, regulagem e ensaio funcional, assentos convencionais ou para PCD, válvulas de descarga metálicas com duplo acionamento eco, sistemas de ligação ajustáveis para cadeirantes;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Divisórias e barras de apoio: fornecimento e instalação de divisórias sanitárias tipo cabine em granito polido (espessura 2 cm), assentadas com argamassa colante AC III-E;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Barras de apoio: fornecimento e instalação de barras de apoio em aço inox polido (40, 60, 70 e 80 cm), fixadas nas paredes conforme normas de acessibilidade.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Dispositivos complementares: fornecimento e instalação cabides metatlicos para banheiro,  saboneteiras plásticas tipo dispenser, toalheiros tipo dispenser para papel-toalha interfolhado, papeleiras para papel higiênico em rolo, duchas/chuveiros elétricos ou metálicos com desviador,  ducha higiênica manual, sistemas de alarme PNE com indicador audiovisual para pessoas com mobilidade reduzida, e demais dispositivos de conforto e acessibilidade.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complementos hidrossanitários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fixação;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da compatibilidade e alinhamento com paredes, revestimentos e tubulações existentes;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Ajuste funcional e ensaio de operação de todos os dispositivos;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instalados contra danos durante a execução de outros serviços;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Garantia de acessibilidade, segurança operacional e manutenção facilitada.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 indicando a localização de bancadas, cubas, vasos, mictórios, divisórias, barras de apoio e dispositivos complementares;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elementos, métodos de instalação, ensaios e testes de operação;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Memorial de cálculo das quantidades de materiais, acessórios e dispositivos complementares, compatibilizados com a arquitetura, estrutura e normas de acessibilidade;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complementos hidrossanitários,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dos complementos em compatibilização com fundações, estrutura, vedações, revestimentos, esquadrias e acabamentos;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funcionalidade, segurança, acessibilidade e atendimento às normas técnicas e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0" w:name="_Toc211245224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4.20) COLETA E DRENAGEM DE ÁGUAS PLUVIAIS</w:t>
      </w:r>
      <w:bookmarkEnd w:id="40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ensaio das instalações de coleta e drenagem de águas pluviais, obedecendo rigorosamente às normas da ABNT, às boas práticas construtivas e às recomendações dos fabricantes. O objetivo é garantir estanqueidade, durabilidade, desempenho hidráulico e segurança operacional do sistema de drenagem.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Tubulações e conexões: fornecimento e instalação de tubos em PVC série R para águas pluviais, com diâmetros de 100 mm e 200 mm, aplicados em condutores verticais e horizontais, incluindo conexões como joelhos ou curvas de 45° e 90° com junta elástica, acessórios de fixação e interligações necessárias, conforme projeto.</w:t>
      </w:r>
    </w:p>
    <w:p>
      <w:pPr>
        <w:pStyle w:val="ListParagraph"/>
        <w:numPr>
          <w:ilvl w:val="0"/>
          <w:numId w:val="66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Caixas de inspeção e reservação: fornecimento e execução de caixas hidráulicas enterradas retangulares em alvenaria de blocos de concreto, dimensões internas de 0,40 x 0,40 x 0,40 m, destinadas à coleta, inspeção e interligação da rede pluvial, incluindo acabamento interno, tampas e dispositivos de inspeção.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drenagem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instalação;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Escavação, regularização de fundo, assentamento, envelopamento e reaterro de tubulações;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estanqueidade, verificação de declividade e funcionalidade da rede;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com fundações, estrutura, impermeabilizações e demais sistemas prediais;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tubulações e caixas contra danos durante a execução de outros serviços;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Garantia de fácil manutenção, acessibilidade e desempenho hidráulico adequado.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 indicando traçados, diâmetros, caixas, declividades e pontos de inspeção;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tubos, conexões e caixas, métodos de instalação, ensaios e testes;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 (tubos, conexões e caixas), compatibilizados com arquitetura, estrutura e demais disciplinas;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coleta e drenagem pluvial,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prevendo a execução das instalações em compatibilização com fundações, estrutura, impermeabilizações, vedações e acabamentos;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estanqueidade, funcionalidade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1" w:name="_Toc21124522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4.21) SISTEMA DE PROTEÇÃO CONTRA INCÊNDIO</w:t>
      </w:r>
      <w:bookmarkEnd w:id="41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instalação, ensaio e comissionamento do sistema de proteção contra incêndio, atendendo rigorosamente às normas da ABNT, às boas práticas construtivas, aos requisitos do Corpo de Bombeiros e às recomendações dos fabricantes. O objetivo é garantir segurança, funcionalidade, confiabilidade, durabilidade e desempenho adequado de todo o sistema de prevenção, detecção e combate a incêndio.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Iluminação de emergência e sinalização: fornecimento e instalação de luminárias de emergência LED, blocos autônomos de iluminação com autonomia mínima de 3 horas, fluxo luminoso entre 2.000 e 3.000 lúmens, equipados com faróis de sinalização e placas fotoluminescentes de PVC indicando rotas de evacuação e saídas de emergência, incluindo fixações e ensaios funcionais.</w:t>
      </w:r>
    </w:p>
    <w:p>
      <w:pPr>
        <w:pStyle w:val="ListParagraph"/>
        <w:numPr>
          <w:ilvl w:val="0"/>
          <w:numId w:val="6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Extintores portáteis e acionamentos de alarme: fornecimento e instalação de extintores portáteis de PQS 6 kg, classe BC, centrais de detecção e alarme de incêndio com autonomia de 1 hora para 12 laços, sirenes audiovisuais tipo endereçável, botoeiras de acionamento tipo quebra-vidro e ensaio de funcionamento completo de todos os dispositivos de alarme.</w:t>
      </w:r>
    </w:p>
    <w:p>
      <w:pPr>
        <w:pStyle w:val="ListParagraph"/>
        <w:numPr>
          <w:ilvl w:val="0"/>
          <w:numId w:val="6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Tubulação, válvulas e conexões: fornecimento e instalação de tubulação de aço galvanizado com conexões rosqueadas (luvas, curvas e uniões), mãos francesas para suporte de tubulação;</w:t>
      </w:r>
    </w:p>
    <w:p>
      <w:pPr>
        <w:pStyle w:val="ListParagraph"/>
        <w:numPr>
          <w:ilvl w:val="0"/>
          <w:numId w:val="6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Sistema de pressurização: Válvulas de retenção em bronze, registros de gaveta em latão, bombas centrífugas trifásicas e demais componentes da rede de alimentação de hidrantes, incluindo fixações, alinhamento, testes de estanqueidade e verificação de pressão.</w:t>
      </w:r>
    </w:p>
    <w:p>
      <w:pPr>
        <w:pStyle w:val="ListParagraph"/>
        <w:numPr>
          <w:ilvl w:val="0"/>
          <w:numId w:val="6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Abrigos e hidrantes: fornecimento e instalação de abrigos para hidrante (90x60x17 cm) com registro globo angular 45°, adaptador Storz 2 1/2”, mangueira de incêndio de 30 m, redução 2 1/2” x 1 1/2” e esguicho em latão 1 1/2”, integrando todo o sistema hidráulico de combate a incêndio, com ensaio funcional e operação conforme normas.</w:t>
      </w:r>
    </w:p>
    <w:p>
      <w:pPr>
        <w:pStyle w:val="ListParagraph"/>
        <w:numPr>
          <w:ilvl w:val="0"/>
          <w:numId w:val="6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Caixa de Recalque de incêndio: fornecimento e instalação de Caixa de recalque (40x40x20 cm) com registro globo angular 45°, adaptador Storz 2 1/2’’, tampão de engate rápido, integrando todo o sistema hidráulico de combate a incêndio, com ensaio funcional e operação conforme normas.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sistema de proteção contra incêndio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instalação;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tubulações e dispositivos com a estrutura, vedações, revestimentos e demais sistemas prediais;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Testes de operação, vazão, pressão, acionamento de alarmes e dispositivos de iluminação;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instalados contra danos durante a execução de outros serviços;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acessibilidade, segurança operacional e manutenção facilitada.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 indicando localização de tubulações, válvulas, hidrantes, bombas, extintores, luminárias de emergência, placas de sinalização e dispositivos de alarme;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componentes, métodos de instalação, ensaios e testes;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materiais, tubulações, acessórios e equipamentos, compatibilizados com arquitetura, estrutura e normas de prevenção de incêndio;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do sistema de proteção contra incêndio,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dos serviços em compatibilização com fundações, estrutura, vedações, revestimentos, esquadrias e acabamentos;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desempenho e atendimento às normas técnicas e de prevenção de incêndio.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2" w:name="_Toc21124522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4.22) INSTALAÇÕES ELÉTRICAS</w:t>
      </w:r>
      <w:bookmarkEnd w:id="42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ensaios das instalações elétricas de baixa tensão, obedecendo rigorosamente às normas da ABNT (NBR 5410, NBR 5419, NBR 13570, entre outras), às boas práticas construtivas e às recomendações dos fabricantes. O objetivo é assegurar segurança, durabilidade, desempenho, funcionalidade e acessibilidade do sistema elétrico.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Quadros de distribuição e proteção: Fornecimento e instalação de 2 quadros de distribuição (1 unidade para vestiários e administrativo e outra unidade para quadra e iluminação exterior) em chapa de aço galvanizado, embutidos, com barramentos, capacidade para 24 e 40 disjuntores, conforme local de instalação (quadra, vestiários e administração). Inclui instalação de disjuntores termomagnéticos monopolares, bipolares e tripolares tipo DIN, dispositivos de proteção contra surtos (DPS) e disjuntores em caixa moldada para proteção geral, atendendo às cargas previstas:</w:t>
      </w:r>
    </w:p>
    <w:p>
      <w:pPr>
        <w:pStyle w:val="ListParagraph"/>
        <w:numPr>
          <w:ilvl w:val="1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QUADRO 01: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1 disjuntor geral tripolar (40A);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Instalação de 8 disjuntores bipolares para iluminação da quadra </w:t>
      </w:r>
      <w:r>
        <w:rPr>
          <w:rFonts w:eastAsia="" w:cs="Calibri" w:cstheme="minorHAnsi" w:eastAsiaTheme="majorEastAsia"/>
          <w:color w:val="000000"/>
        </w:rPr>
        <w:t>(10A);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color w:val="000000"/>
        </w:rPr>
      </w:pPr>
      <w:r>
        <w:rPr>
          <w:rFonts w:eastAsia="" w:cs="Calibri" w:cstheme="minorHAnsi" w:eastAsiaTheme="majorEastAsia"/>
          <w:color w:val="000000"/>
        </w:rPr>
        <w:t>Instalação de 2 disjuntores monopolares (16A) para tomadas;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color w:val="000000"/>
        </w:rPr>
      </w:pPr>
      <w:r>
        <w:rPr>
          <w:rFonts w:eastAsia="" w:cs="Calibri" w:cstheme="minorHAnsi" w:eastAsiaTheme="majorEastAsia"/>
          <w:color w:val="000000"/>
        </w:rPr>
        <w:t>Instalação de 1 disjuntor monopolar (10A) para tomadas e iluminação;</w:t>
      </w:r>
    </w:p>
    <w:p>
      <w:pPr>
        <w:pStyle w:val="ListParagraph"/>
        <w:numPr>
          <w:ilvl w:val="2"/>
          <w:numId w:val="68"/>
        </w:numPr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4 dispositivos DPS Classe II, 1 polo, tensão máxima 175V, corrente máxima 20 kA (Tipo AC) para proteção dos quadros;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1 haste de aterramento em aço cobreado, 5/8", 3 m, conectada ao quadro.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execução deverá seguir rigorosamente a ABNT NBR 5410 e demais normas aplicáveis, garantindo fornecimento de todos os materiais, equipamentos, ferramentas e mão de obra qualificada.</w:t>
      </w:r>
    </w:p>
    <w:p>
      <w:pPr>
        <w:pStyle w:val="ListParagraph"/>
        <w:numPr>
          <w:ilvl w:val="1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QUADRO 02: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</w:t>
      </w:r>
      <w:r>
        <w:rPr>
          <w:rFonts w:eastAsia="" w:cs="Calibri" w:cstheme="minorHAnsi" w:eastAsiaTheme="majorEastAsia"/>
          <w:color w:val="000000"/>
        </w:rPr>
        <w:t>stalação de 1 disjuntor geral caixa moldada tripolar (150A);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color w:val="000000"/>
        </w:rPr>
      </w:pPr>
      <w:r>
        <w:rPr>
          <w:rFonts w:eastAsia="" w:cs="Calibri" w:cstheme="minorHAnsi" w:eastAsiaTheme="majorEastAsia"/>
          <w:color w:val="000000"/>
        </w:rPr>
        <w:t>Instalação de 5 disjuntores monopolares (16A) para tomadas;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color w:val="000000"/>
        </w:rPr>
      </w:pPr>
      <w:r>
        <w:rPr>
          <w:rFonts w:eastAsia="" w:cs="Calibri" w:cstheme="minorHAnsi" w:eastAsiaTheme="majorEastAsia"/>
          <w:color w:val="000000"/>
        </w:rPr>
        <w:t>Instalação de 1 disjuntor monopolar (10A) para iluminação;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color w:val="000000"/>
        </w:rPr>
      </w:pPr>
      <w:r>
        <w:rPr>
          <w:rFonts w:eastAsia="" w:cs="Calibri" w:cstheme="minorHAnsi" w:eastAsiaTheme="majorEastAsia"/>
          <w:color w:val="000000"/>
        </w:rPr>
        <w:t>Instalação de 8 disjuntores bipolares (25A) para chuveiros;</w:t>
      </w:r>
    </w:p>
    <w:p>
      <w:pPr>
        <w:pStyle w:val="ListParagraph"/>
        <w:numPr>
          <w:ilvl w:val="2"/>
          <w:numId w:val="68"/>
        </w:numPr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4 dispositivos DPS Classe II, 1 polo, tensão máxima 175V, corrente máxima 20 kA (Tipo AC) para proteção dos quadros;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1 haste de aterramento em aço cobreado, 5/8", 3 m, conectada ao quadro.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execução deverá seguir rigorosamente a ABNT NBR 5410 e demais normas aplicáveis, garantindo fornecimento de todos os materiais, equipamentos, ferramentas e mão de obra qualificada.</w:t>
      </w:r>
    </w:p>
    <w:p>
      <w:pPr>
        <w:pStyle w:val="ListParagraph"/>
        <w:spacing w:lineRule="auto" w:line="360" w:before="0" w:after="0"/>
        <w:ind w:left="216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Eletrodutos, caixas e cabeamento: Fornecimento e instalação de eletrodutos galvanizados a quente conforme NBR 6323, bem como eletrodutos flexíveis corrugados reforçados em PVC para embutimento em lajes e paredes, com todos os acessórios de fixação e vedação. Execução de caixas de passagem e derivação em ferro estampado ou PVC (retangulares, octogonais e 4"x4"), instaladas em diferentes alturas conforme função (baixa, média ou alta).</w:t>
        <w:br/>
        <w:t>Fornecimento e lançamento de cabos de cobre flexível isolados, anti-chama 450/750 V, devidamente identificados e compatibilizados com os quadros, disjuntores e circuitos terminais.</w:t>
      </w:r>
    </w:p>
    <w:p>
      <w:pPr>
        <w:pStyle w:val="ListParagraph"/>
        <w:numPr>
          <w:ilvl w:val="0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Iluminação, tomadas e dispositivos: Fornecimento e instalação de pontos de iluminação interna e externa, incluindo luminárias tipo plafon circular LED de sobrepor (12/13 W), lâmpadas LED tubulares T8 (18 a 20 W), projetores LED modulares (150 a 200 W) com eficiência mínima de 125 lm/W, além de blocos autônomos de iluminação de emergência com autonomia mínima de 3 h.</w:t>
        <w:br/>
        <w:t>Fornecimento e instalação de interruptores simples (1 módulo, 10 A/250 V) completos com suporte e placa, bem como tomadas 2P+T de 10 A/250 V, devidamente distribuídas e compatibilizadas com as necessidades de uso e mobiliário.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1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Lançamento, organização e fixação dos eletrodutos e cabos;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Conexões, derivações, cravações e interligações elétricas;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Identificação de circuitos e dispositivos de proteção;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continuidade, resistência de isolamento, funcionamento e desempenho luminotécnico;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elétricas com estrutura, arquitetura, hidráulica, climatização e demais sistemas prediais;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instalações contra danos durante a execução de outros serviços;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diagramas unifilares e esquemas elétricos atualizados, indicando traçados, cargas, circuitos, quadros e dispositivos de proteção;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materiais (quadros, disjuntores, DPS, eletrodutos, caixas, cabos, luminárias e tomadas), métodos de instalação e ensaios;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de demanda, dimensionamento de condutores e dispositivos de proteção, queda de tensão e curto-circuito, conforme normas aplicáveis;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elétricos,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instalações elétricas em compatibilização com fundações, estrutura, vedações, impermeabilizações e acabamentos;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funcionalidade, segurança e atendimento às normas de desempenho.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3" w:name="_Toc211245227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4.23) SISTEMA DE PROTEÇÃO CONTRA DESCARGAS ATMOSFÉRICAS</w:t>
      </w:r>
      <w:bookmarkEnd w:id="43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testes do sistema de proteção contra descargas atmosféricas – SPDA, obedecendo rigorosamente às normas da ABNT (NBR 5419), às boas práticas construtivas e às recomendações dos fabricantes, garantindo a eficiência da captação, condução e dissipação das descargas elétricas.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Hastes e captores: fornecimento e instalação de hastes de aterramento em aço cobreado, diâmetro 3/4", comprimento de 3 m, mini captores e terminais aéreos, com suportes para fixação, garantindo captação adequada e continuidade elétrica.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Cabos e conexões: fornecimento e instalação de cabos de cobre nu, têmpera mole, classe 2, seção de 50 mm², interligados por conectores apropriados (split-bolt, olhal e cabo/haste 3/4”), além de terminais estanhados, assegurando baixa resistência elétrica e conexões confiáveis.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Caixas e equipotencialização: fornecimento e instalação de caixas de inspeção para aterramento em polietileno, diâmetro interno 0,30 m, bem como caixa de equipotencialização 200x200x120 mm, com 9 terminais, para interligação de subsistemas e verificação de continuidade.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Serviços complementares: execução de escavações manuais em solo de 1ª e 2ª categorias em valas ou cavas de até 1,5 m, reaterro manual apiloado, preparação de base e ensaios de resistência de aterramento, assegurando atendimento ao valor máximo permitido em norma.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 compatibilização do SPDA com demais sistemas prediais, proteção mecânica de cabos e conexões, ensaios de resistência ôhmica do aterramento e emissão de laudo técnico conclusivo de conformidade.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2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instalação do SPDA;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Lançamento, organização e fixação das hastes, cabos e condutores de descida;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Conexões, derivações, cravações, interligações e aterramentos do sistema;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continuidade elétrica, resistência de aterramento e funcionamento do sistema de proteção;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do SPDA com a estrutura, arquitetura, hidráulica, climatização e demais sistemas prediais;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instalações do SPDA contra danos durante a execução de outros serviços;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 do sistema.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7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detalhes construtivos e esquemas isométricos do sistema de SPDA, indicando posicionamento de hastes, captores, condutores, conexões e caixas de inspeção;</w:t>
      </w:r>
    </w:p>
    <w:p>
      <w:pPr>
        <w:pStyle w:val="Normal"/>
        <w:numPr>
          <w:ilvl w:val="0"/>
          <w:numId w:val="7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detalhado com especificações técnicas de todos os materiais, métodos de instalação, critérios de ensaio e medições;</w:t>
      </w:r>
    </w:p>
    <w:p>
      <w:pPr>
        <w:pStyle w:val="Normal"/>
        <w:numPr>
          <w:ilvl w:val="0"/>
          <w:numId w:val="7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materiais (hastes, cabos, conectores, caixas e acessórios), compatibilizado com arquitetura e estrutura;</w:t>
      </w:r>
    </w:p>
    <w:p>
      <w:pPr>
        <w:pStyle w:val="Normal"/>
        <w:numPr>
          <w:ilvl w:val="0"/>
          <w:numId w:val="7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SPDA, quantificados e precificados com base em composições SINAPI/SICRO (ou outras bases oficiais aplicáveis);</w:t>
      </w:r>
    </w:p>
    <w:p>
      <w:pPr>
        <w:pStyle w:val="Normal"/>
        <w:numPr>
          <w:ilvl w:val="0"/>
          <w:numId w:val="70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Cronograma físico-financeiro prevendo a execução do SPDA em compatibilização com fundações, estrutura, impermeabilizações, instalações elétricas e acabamentos;</w:t>
      </w:r>
    </w:p>
    <w:p>
      <w:pPr>
        <w:pStyle w:val="Normal"/>
        <w:numPr>
          <w:ilvl w:val="0"/>
          <w:numId w:val="70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continuidade elétrica, baixa resistência de aterramento, segurança e atendimento às normas de desempenho.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4" w:name="_Toc21124522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4.24) COMPLEMENTOS – QUADRA POLIESPORTIVA</w:t>
      </w:r>
      <w:bookmarkEnd w:id="44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fornecer, instalar e executar todos os serviços relacionados aos complementos da quadra poliesportiva, obedecendo às normas técnicas brasileiras aplicáveis, boas práticas construtivas e recomendações dos fabricantes, garantindo funcionalidade, segurança e durabilidade. Os serviços compreenderão, no mínimo, as seguintes etapas: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Poste oficial completo com rede para voleibol: fornecimento e instalação de postes metálicos galvanizados, ancoragem em fundações de concreto, regulagem de altura, montagem de redes oficiais de voleibol e tensores, garantindo estabilidade e segurança durante o uso.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Trave oficial completa com rede para futebol de salão: fornecimento e instalação de traves metálicas, fixação em solo com fundações de concreto, redes de poliéster ou nylon com alta resistência, incluindo conexões e tensores, assegurando uso seguro e durabilidade.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Tabela de basquete, englobando desde fundação/fixação até a cesta de nylon: fornecimento e execução de fundação em concreto, estrutura metálica ou polimérica da tabela, suporte da cesta, aro e rede de nylon, garantindo resistência, alinhamento correto e conformidade com normas esportivas. Prever sistema articulado;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Guarda-corpo tubular com tela em aço galvanizado, diâmetro de 1 1/2’’: fornecimento e instalação de guarda-corpo metálico, inclinação e altura conforme normas de segurança, fixação adequada em solo ou estrutura existente, incluindo tela de aço galvanizado para proteção de espectadores ou delimitação de área.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Porta de abrir em tela ondulada de aço galvanizado, completa: fornecimento e instalação de portas de abertura manual ou com travamento, estrutura tubular metálica com tela ondulada galvanizada, dobradiças, travas e pintura conforme especificações, garantindo segurança e durabilidade.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instalação;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Fixação segura de estruturas em fundações ou bases previamente preparadas;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Conexões, ajustes, tensões e alinhamentos de redes, tabelas, traves e guardas;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estabilidade, funcionamento e segurança de todos os elementos;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com a superfície da quadra, drenagem, iluminação e demais sistemas prediais;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instalações durante a execução de outros serviços;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Garantia de fácil manutenção, acessibilidade e segurança operacional dos complementos.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isométricos, indicando posicionamento de postes, traves, tabelas, guarda-corpos e portas;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materiais, métodos de instalação, critérios de ensaio e medições;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 (postes, traves, tabelas, guardas, portas, redes e acessórios), compatibilizado com a arquitetura e estrutura da quadra;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dos complementos,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dos complementos em compatibilização com fundações, quadra, drenagem, iluminação e demais instalações;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segurança, funcionalidade, durabilidade e atendimento às normas de desempenho.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5" w:name="_Toc21124522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4.25) SERVIÇOS COMPLEMENTARES E FINAIS</w:t>
      </w:r>
      <w:bookmarkEnd w:id="45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limpeza final da obra, abrangendo áreas internas e externas, obedecendo às normas de segurança, boas práticas de higiene e conservação, garantindo ambientes limpos, livres de resíduos de construção e prontos para uso.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2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Remoção de entulhos e resíduos: coleta, segregação e destinação adequada de restos de materiais de construção, embalagens, restos de tintas, colas e outros resíduos, conforme normas ambientais vigentes e legislação local;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Limpeza de superfícies: lavagem, aspiração e higienização de pisos, paredes, forros, vidros, portas, janelas e outras superfícies, utilizando produtos e equipamentos adequados para não danificar os acabamentos;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Limpeza de equipamentos e instalações: remoção de sujeiras, pó e resíduos de sistemas elétricos, hidráulicos, luminárias, ar-condicionado e demais equipamentos instalados, garantindo funcionamento correto e preservação;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Tratamento de áreas externas: varrição, lavagem e retirada de entulhos de áreas externas, calçadas, estacionamentos, rampas e jardins, garantindo segurança e estética do entorno;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Serviços complementares: eliminação de manchas, resíduos de adesivos, graxas ou tintas, polimento de superfícies metálicas e vidros, desinfecção de sanitários e áreas comuns, assegurando entrega da obra em condições ideais de uso.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2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Planejamento e preparação dos locais de limpeza;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de materiais e acabamentos durante a execução da limpeza;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Coleta, transporte e destinação final de resíduos conforme legislação ambiental;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 limpeza com demais sistemas prediais e acabamentos;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áreas acessíveis, seguras e prontas para utilização imediata;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Emissão de relatórios de serviços executados e registros de descarte de resíduos.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Plano detalhado de limpeza final da obra, com métodos, produtos e equipamentos a serem utilizados;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das etapas de limpeza, indicando responsabilidades e critérios de inspeção;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 limpeza em compatibilização com entrega de áreas, conclusão de obras e acabamentos;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Relatórios de coleta, segregação e destinação final de resíduos, comprovando atendimento às normas ambientais;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 e conservação, garantindo segurança, qualidade e atendimento às normas de higiene e desempenho.</w:t>
      </w:r>
    </w:p>
    <w:p>
      <w:pPr>
        <w:pStyle w:val="ListParagraph"/>
        <w:numPr>
          <w:ilvl w:val="0"/>
          <w:numId w:val="10"/>
        </w:numPr>
        <w:spacing w:lineRule="auto" w:line="360" w:before="0" w:after="0"/>
        <w:contextualSpacing/>
        <w:rPr>
          <w:rStyle w:val="Ttulo1Char"/>
          <w:rFonts w:ascii="Calibri" w:hAnsi="Calibri" w:cs="Calibri" w:asciiTheme="minorHAnsi" w:cstheme="minorHAnsi" w:hAnsiTheme="minorHAnsi"/>
          <w:b/>
          <w:bCs/>
          <w:color w:val="auto"/>
          <w:sz w:val="28"/>
          <w:szCs w:val="28"/>
        </w:rPr>
      </w:pPr>
      <w:bookmarkStart w:id="46" w:name="_Toc211245230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t>EDIFICAÇÕES PISCINA (VESTIÁRIO E GUARITA/DEPÓSITO)</w:t>
      </w:r>
      <w:bookmarkEnd w:id="46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7" w:name="_Toc211245231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5.1) SERVIÇOS PRELIMINARES</w:t>
      </w:r>
      <w:bookmarkEnd w:id="47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considerar, em sua proposta técnica e orçamentária, a execução integral de todos os serviços preliminares, seguindo a ordem de execução abaixo: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87"/>
        </w:numPr>
        <w:spacing w:lineRule="auto" w:line="360" w:before="0" w:after="0"/>
        <w:ind w:left="720"/>
        <w:rPr/>
      </w:pPr>
      <w:r>
        <w:rPr>
          <w:rFonts w:eastAsia="" w:cs="Calibri" w:cstheme="minorHAnsi" w:eastAsiaTheme="majorEastAsia"/>
        </w:rPr>
        <w:t>Demolição de paredes: No projeto executivo a ser apresentado, a contratada deverá detalhar se haverá necessidade de demolição integral ou parcial do muro existente para implantação da nova estrutura;</w:t>
      </w:r>
    </w:p>
    <w:p>
      <w:pPr>
        <w:pStyle w:val="Normal"/>
        <w:numPr>
          <w:ilvl w:val="0"/>
          <w:numId w:val="87"/>
        </w:numPr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Locação da Obra: A contratada deverá prever todos os custos para fornecimento e instalação de tábuas e gabaritos, necessários à execução dos serviços de fundação e estrutura.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1"/>
          <w:numId w:val="12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contemplando a demolição e a reorganização do espaço para a nova implantação da quadra, incluindo medidas de segurança, logística de transporte, gestão de resíduos e mitigação de impactos ambientais;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detalhando todos os serviços da etapa de demolição, com quantificação e precificação baseada em composições SINAPI/SICRO (ou outras bases oficiais quando aplicável);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etapa de demolição como evento inicial obrigatório da obra;</w:t>
      </w:r>
    </w:p>
    <w:p>
      <w:pPr>
        <w:pStyle w:val="ListParagraph"/>
        <w:numPr>
          <w:ilvl w:val="1"/>
          <w:numId w:val="4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Metodologia executiva dos serviços, contemplando equipamentos a serem empregados, medidas de segurança, controle tecnológico e gestão de resíduos.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8" w:name="_Toc211245232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5.2) SERVIÇOS EM TERRA</w:t>
      </w:r>
      <w:bookmarkEnd w:id="48"/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em sua proposta técnica e orçamentária, todos os serviços e etapas necessárias para a execução das escavações, considerando a quantidade e os custos dos serviços listados com base nos itens da SINAPI.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2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Peças gráficas que comprovem as quantidades aferidas;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detalhando todos os serviços de escavação, com quantificação e precificação baseada em composições SINAPI/SICRO (ou outras bases oficiais quando aplicável);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evidenciando a execução das etapas de escavação, preparo de fundo e reaterro;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Metodologia executiva dos serviços, contemplando equipamentos a serem empregados, medidas de segurança, controle tecnológico e gestão de resíduos;</w:t>
      </w:r>
    </w:p>
    <w:p>
      <w:pPr>
        <w:pStyle w:val="ListParagraph"/>
        <w:numPr>
          <w:ilvl w:val="0"/>
          <w:numId w:val="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do projeto executivo com os serviços de fundação e estrutura, assegurando coerência entre memoriais, desenhos e orçamentos.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49" w:name="_Toc211245233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5.3) FUNDAÇÕES – BLOCOS E ESTACAS</w:t>
      </w:r>
      <w:bookmarkEnd w:id="49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às fundações da obra, considerando a melhor solução para o perfil de terreno encontrado.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25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Estacas para atingir cota com capacidade de suporte da estrutura;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bloco de coroamento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Lastro de concreto magro, aplicado em blocos de coroamento ou sapatas.;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dos blocos e das estacas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dos blocos e das estacas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26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0" w:name="_Toc211245234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5.4) FUNDAÇÕES – VIGAS BALDRAME</w:t>
      </w:r>
      <w:bookmarkEnd w:id="50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às vigas baldrames da obra considerando a melhor solução para a estrutura e o perfil de terreno encontrado.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27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viga baldrame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Lastro de concreto magro, aplicado em blocos de coroamento ou sapatas.;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das vigas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das vigas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28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1" w:name="_Toc21124523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5.5) SUPERESTRUTURA – PILARES</w:t>
      </w:r>
      <w:bookmarkEnd w:id="51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aos pilares de concreto da obra considerando a melhor solução para a estrutura projetada.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2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pilares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dos pilares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dos pilares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3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2" w:name="_Toc21124523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5.6) SUPERESTRUTURA – VIGAS</w:t>
      </w:r>
      <w:bookmarkEnd w:id="52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as vigas de concreto da obra considerando a melhor solução para a estrutura projetada.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3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para vigas de concreto prevendo reaproveitamento da madeira;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das vigas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das vigas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3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3" w:name="_Toc211245237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5.7) SUPERESTRUTURA – PISOS E LAJES</w:t>
      </w:r>
      <w:bookmarkEnd w:id="53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na sua proposta técnica e orçamentária, a execução integral de todos os itens relacionados aos pisos e lajes de concreto da obra considerando a melhor solução para a estrutura projetada. Deverá também fazer o dimensionamento de todos os elementos conforma as NBRs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3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Compactação mecânica do solo, garantindo estabilidade e evitando recalques diferenciais;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Fabricação, montagem e desmontagem de fôrmas prevendo reaproveitamento da madeira;</w:t>
      </w:r>
    </w:p>
    <w:p>
      <w:pPr>
        <w:pStyle w:val="ListParagraph"/>
        <w:numPr>
          <w:ilvl w:val="0"/>
          <w:numId w:val="2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lastro em material granular, com espessura de 5 cm, devidamente compactado;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do piso estrutural em concreto fck = 20 MPa, espessura de 7 cm, com lançamento, adensamento mecânico e acabamento;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Armações das lajes prevendo as bitolas, comprimento, peso e tabelas;</w:t>
      </w:r>
    </w:p>
    <w:p>
      <w:pPr>
        <w:pStyle w:val="Normal"/>
        <w:numPr>
          <w:ilvl w:val="0"/>
          <w:numId w:val="23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Concretagem das lajes com uso de bomba, lançamento, adensamento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3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As peças gráficas com o detalhamento de todos os elementos que serão executados e que comprovem as quantidades aferidas;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Considerações adotadas para o dimensionamento e a memória de cálculo para verificação dos resultados alcançados;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executivo com as recomendações de execução baseado nas NBRs vigentes e boas práticas da construção.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A planilha orçamentária com todos os serviços de fundação, com quantificação e precificação baseada em composições SINAPI/SICRO (ou outras bases oficiais, quando aplicável);</w:t>
      </w:r>
    </w:p>
    <w:p>
      <w:pPr>
        <w:pStyle w:val="Normal"/>
        <w:numPr>
          <w:ilvl w:val="0"/>
          <w:numId w:val="2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O cronograma físico-financeiro contendo a etapa de fundações como marco inicial obrigatório da execução da obra.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4" w:name="_Toc21124523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5.8) SUPERESTRUTURA – COBERTURA, TELHAS E FECHAMENTOS</w:t>
      </w:r>
      <w:bookmarkEnd w:id="54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prever, em sua proposta técnica e orçamentária, a execução integral de todos os serviços relacionados à cobertura das edificações da piscina, considerando a melhor solução técnica e o atendimento às normas vigentes. Abaixo seguem as principais etapas, devendo a empresa complementar, se necessário, considerando sempre as respectivas quantidades, custos e prazos de execução em cronograma físico-financeiro: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3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de estrutura metálica em metalon para apoio e fixação das telhas metálicas;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telhas metálicas em aço ou alumínio, espessura 0,5 mm, para cobertura principal, incluindo içamento, fixação e alinhamento;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Instalação de calhas em chapa de aço galvanizado, nº 24, desenvolvimento 33 cm, com transporte vertical e fixação segura;</w:t>
      </w:r>
    </w:p>
    <w:p>
      <w:pPr>
        <w:pStyle w:val="ListParagraph"/>
        <w:numPr>
          <w:ilvl w:val="0"/>
          <w:numId w:val="4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e ajuste de alinhamento, nivelamento, sobreposição de telhas e fechamento completo, garantindo estanqueidade e resistência ao vento e intempéries;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3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 e detalhes construtivos das coberturas, testeiras, cumeeiras, calhas e arremates;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executivo com especificações técnicas de fabricação, montagem, fixação, içamento e pintura, incluindo métodos de aplicação, número de demãos e cores;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contendo todos os serviços de cobertura e fechamento, com quantificação e precificação baseada em composições SINAPI/SICRO (ou outras bases oficiais, quando aplicável);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contemplando a execução da cobertura e fechamento como marco de referência da obra;</w:t>
      </w:r>
    </w:p>
    <w:p>
      <w:pPr>
        <w:pStyle w:val="ListParagraph"/>
        <w:numPr>
          <w:ilvl w:val="0"/>
          <w:numId w:val="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Mensuração das quantidades, detalhamento de todas as etapas e justificativa técnica para compatibilização com a estrutura metálica existente e demais sistemas da quadra.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5" w:name="_Toc21124523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5.9) ELEMENTOS DE VEDAÇÃO</w:t>
      </w:r>
      <w:bookmarkEnd w:id="55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prever em sua proposta a execução integral das vedações verticais, internas e externas, contemplando a utilização de blocos cerâmicos bem como vergas e contra vergas. Todos os serviços deverão ser executados em conformidade com as normas técnicas aplicáveis, utilizando materiais de primeira qualidade, mão de obra qualificada e controle tecnológico de acordo com o que segue: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3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Execução de alvenaria de vedação em blocos cerâmicos furados na vertical, assentados com argamassa preparada em betoneira, garantindo travamento adequado e juntas niveladas;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vergas pré-moldadas em concreto, com até 1,5 m de vão livre, espessura 20 cm, posicionadas sobre vãos de portas e janelas, garantindo resistência e distribuição uniforme dos esforços;</w:t>
      </w:r>
    </w:p>
    <w:p>
      <w:pPr>
        <w:pStyle w:val="ListParagraph"/>
        <w:numPr>
          <w:ilvl w:val="0"/>
          <w:numId w:val="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Fornecimento e instalação de contra vergas pré-moldadas em concreto, espessura 20 cm, devidamente posicionadas sob os vãos de esquadrias, assegurando estabilidade estrutural e acabamento;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3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 e detalhes construtivos das alvenarias;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materiais (alvenarias, vergas e contra vergas), métodos de execução, juntas de movimentação e acabamentos;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previstas;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vedação,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as etapas de execução das vedações em compatibilização com fundações, estrutura e instalações;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vedações com esquadrias, instalações elétricas, hidráulicas e demais sistemas construtivos, garantindo plena integração da obra;</w:t>
      </w:r>
    </w:p>
    <w:p>
      <w:pPr>
        <w:pStyle w:val="ListParagraph"/>
        <w:numPr>
          <w:ilvl w:val="0"/>
          <w:numId w:val="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conforto e qualidade final dos elementos de vedação.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6" w:name="_Toc211245240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5.10) IMPERMEABILIZAÇÕES</w:t>
      </w:r>
      <w:bookmarkEnd w:id="56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impermeabilização conforme as boas práticas construtivas, observando rigorosamente as normas técnicas pertinentes da ABNT e garantindo a estanqueidade e a durabilidade das estruturas protegidas. Deverão ser empregados materiais de primeira qualidade, compatíveis com as superfícies a serem tratadas e com comprovação de desempenho técnico por meio de fichas técnicas e certificados de conformidade. A execução compreenderá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3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Impermeabilização das fundações: aplicação de emulsão asfáltica em duas demãos contínuas e uniformes sobre blocos de fundação e vigas baldrame, devidamente limpos e secos, assegurando a proteção contra a umidade ascendente do solo.</w:t>
      </w:r>
    </w:p>
    <w:p>
      <w:pPr>
        <w:pStyle w:val="Normal"/>
        <w:numPr>
          <w:ilvl w:val="0"/>
          <w:numId w:val="48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Impermeabilização do piso dos vestiários: aplicação de emulsão asfáltica em duas demãos sobre o piso de concreto estrutural, contemplando a regularização prévia da superfície, o tratamento de juntas e a devida proteção mecânica antes da execução dos revestimentos finais.</w:t>
      </w:r>
    </w:p>
    <w:p>
      <w:pPr>
        <w:pStyle w:val="Normal"/>
        <w:numPr>
          <w:ilvl w:val="0"/>
          <w:numId w:val="48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Impermeabilização das paredes dos vestiários: aplicação de emulsão asfáltica em duas demãos, na parede em contato com solo em toda sua extensão e altura a partir do piso acabado.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apresentar, previamente à execução, a metodologia detalhada do sistema impermeabilizante a ser adotado, incluindo a preparação das superfícies, a sequência de execução das demãos, os equipamentos e ferramentas a serem empregados, as medidas de proteção e cura entre etapas, bem como as inspeções de aderência, uniformidade e estanqueidade.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Adicionalmente, 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4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 e detalhes construtivos indicando claramente as áreas de aplicação da impermeabilização em fundações, pisos e paredes, com marcação das alturas, limites e juntas de tratamento;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detalhado, com especificações técnicas dos materiais impermeabilizantes (tipo de emulsão asfáltica, número de demãos, consumo por m²), métodos de aplicação, preparo de superfícies, proteção mecânica e procedimentos de cura;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previstas para cada frente de impermeabilização (fundações, pisos e paredes), compatibilizadas com os quantitativos de concreto, alvenaria e revestimentos;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impermeabilização, quantificados e precificados com base em composições SINAPI/SICRO (ou outras bases oficiais aplicáveis);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das impermeabilizações em compatibilização com fundações, pisos, paredes e etapas subsequentes de revestimento e acabamento;</w:t>
      </w:r>
    </w:p>
    <w:p>
      <w:pPr>
        <w:pStyle w:val="Normal"/>
        <w:numPr>
          <w:ilvl w:val="0"/>
          <w:numId w:val="49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qualidade e prevenção de patologias como infiltrações, destacamentos e bolores.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7" w:name="_Toc211245241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5.11) REVESTIMENTOS INTERNOS E EXTERNOS - PAREDES, VIGAS E PILARES</w:t>
      </w:r>
      <w:bookmarkEnd w:id="57"/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revestimento interno e externo em paredes, vigas e pilares, obedecendo rigorosamente às normas da ABNT, às boas práticas construtivas e às recomendações dos fabricantes dos materiais empregados. O objetivo é assegurar a aderência, o desempenho estético e funcional, a durabilidade e a resistência dos elementos de vedação e estruturais.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4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Chapisco: aplicação manual em alvenarias e estruturas de concreto internas, utilizando argamassa traço 1:3, preparada em betoneira de 400L, garantindo aderência adequada para as camadas subsequentes de emboço ou massa única.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Emboço: execução em paredes internas de ambientes com área maior que 10 m², utilizando argamassa traço 1:2:8, com espessura média de 17,5 mm, aplicada manualmente com o auxílio de taliscas, assegurando o nivelamento e o prumo da base.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Massa única: aplicação em paredes internas com argamassa industrializada, com preparo mecânico, espessura média de 5 mm, aplicada com equipamento de mistura e projeção, dispensando o uso de taliscas, garantindo acabamento uniforme e adequado para receber pintura ou revestimento cerâmico.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Revestimento cerâmico esmaltado (33 x 45 cm): assentamento de placas cerâmicas esmaltadas em paredes internas, aplicadas em toda a altura das superfícies definidas em projeto, garantindo resistência, impermeabilidade e fácil manutenção.</w:t>
      </w:r>
    </w:p>
    <w:p>
      <w:pPr>
        <w:pStyle w:val="Normal"/>
        <w:numPr>
          <w:ilvl w:val="0"/>
          <w:numId w:val="5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Revestimento cerâmico esmaltado extra (5 x 5 cm): assentamento de placas cerâmicas nas cores amarela, azul e cinza claro, em paredes internas, conforme projeto arquitetônico, atendendo às especificações de layout, paginação e acabamento.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revestimento deverão contemplar preparo adequado das bases, execução de juntas de movimentação e dessolidarização, tratamento de cantos e arremates, além da perfeita compatibilização com esquadrias, instalações elétricas e hidráulicas.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4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elevações e detalhes construtivos das áreas de revestimento, indicando paginação, cores e dimensões dos revestimentos cerâmicos;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com especificações técnicas de todos os revestimentos (chapisco, emboço, massa única e cerâmicas), métodos de preparo e aplicação, juntas, arremates e acabamentos;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argamassa, cerâmicas e demais materiais, compatibilizados com as áreas de vedação e estrutura;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revestimento, quantificados e precificados com base em composições SINAPI/SICRO (ou outras bases oficiais aplicáveis);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dos revestimentos em compatibilização com fundações, estrutura, impermeabilizações, vedações e instalações prediais;</w:t>
      </w:r>
    </w:p>
    <w:p>
      <w:pPr>
        <w:pStyle w:val="Normal"/>
        <w:numPr>
          <w:ilvl w:val="0"/>
          <w:numId w:val="51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a durabilidade, segurança, qualidade estética e funcionalidade dos revestimentos internos e externos.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8" w:name="_Toc211245242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5.12) REVESTIMENTOS INTERNOS - PISOS</w:t>
      </w:r>
      <w:bookmarkEnd w:id="58"/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revestimento de pisos internos nos vestiários e nas áreas de apoio administrativo, obedecendo rigorosamente às normas da ABNT, às boas práticas construtivas e às recomendações dos fabricantes dos materiais empregados. O objetivo é assegurar a aderência, o desempenho funcional, a durabilidade e a resistência dos pisos, bem como o correto escoamento das águas nas áreas molhadas. Os serviços compreenderão, no mínimo, as seguintes etapas:</w:t>
      </w:r>
    </w:p>
    <w:p>
      <w:pPr>
        <w:pStyle w:val="ListParagraph"/>
        <w:numPr>
          <w:ilvl w:val="0"/>
          <w:numId w:val="14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Contrapiso em argamassa pronta – áreas gerais (4 cm): aplicação manual sobre a impermeabilização, garantindo regularização e nivelamento da superfície, com espessura média de 4 cm. O contrapiso deverá prever caimentos adequados para os ralos, evitando qualquer empossamento ou acúmulo de água fora da proximidade dos ralos;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Contrapiso em argamassa pronta – áreas de chuveiros (2 cm): aplicação manual sobre impermeabilização, com espessura média de 2 cm, garantindo caimento para os ralos, sem acúmulo de água;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Revestimento cerâmico esmaltado (45 x 45 cm): assentamento das placas cerâmicas esmaltadas nos pisos, em todos os ambientes definidos em projeto, obedecendo à paginação, alinhamento e nivelamento corretos, garantindo resistência mecânica, impermeabilidade e facilidade de manutenção;</w:t>
      </w:r>
    </w:p>
    <w:p>
      <w:pPr>
        <w:pStyle w:val="ListParagraph"/>
        <w:numPr>
          <w:ilvl w:val="0"/>
          <w:numId w:val="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Todos os serviços de revestimento de pisos deverão contemplar preparo adequado das bases, execução de juntas de movimentação e dessolidarização, tratamento de cantos e arremates, além da perfeita compatibilização com impermeabilizações, vedações e instalações prediais.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144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elevações e detalhes construtivos das áreas de piso, indicando caimentos, paginação, cores e dimensões dos revestimentos cerâmicos;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com especificações técnicas de contrapiso, cerâmicas e rodapés, métodos de preparo e aplicação, juntas, arremates e acabamentos;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argamassa, cerâmicas e demais materiais, compatibilizados com contrapiso, impermeabilização e estrutura;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revestimento de pisos, quantificados e precificados com base em composições SINAPI/SICRO (ou outras bases oficiais aplicáveis);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dos revestimentos de piso em compatibilização com fundações, estrutura, impermeabilizações, vedações e instalações prediais;</w:t>
      </w:r>
    </w:p>
    <w:p>
      <w:pPr>
        <w:pStyle w:val="Normal"/>
        <w:numPr>
          <w:ilvl w:val="0"/>
          <w:numId w:val="52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a durabilidade, segurança, qualidade estética e funcionalidade dos pisos internos.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59" w:name="_Toc211245243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5.13) ESQUADRIAS</w:t>
      </w:r>
      <w:bookmarkEnd w:id="59"/>
    </w:p>
    <w:p>
      <w:pPr>
        <w:pStyle w:val="ListParagraph"/>
        <w:spacing w:lineRule="auto" w:line="360" w:before="0" w:after="0"/>
        <w:contextualSpacing/>
        <w:rPr/>
      </w:pPr>
      <w:r>
        <w:rPr/>
      </w:r>
    </w:p>
    <w:p>
      <w:pPr>
        <w:pStyle w:val="ListParagraph"/>
        <w:numPr>
          <w:ilvl w:val="0"/>
          <w:numId w:val="88"/>
        </w:numPr>
        <w:spacing w:lineRule="auto" w:line="360" w:before="0" w:after="0"/>
        <w:contextualSpacing/>
        <w:rPr>
          <w:u w:val="single"/>
        </w:rPr>
      </w:pPr>
      <w:r>
        <w:rPr>
          <w:u w:val="single"/>
        </w:rPr>
        <w:t>PORTAS:</w:t>
      </w:r>
    </w:p>
    <w:p>
      <w:pPr>
        <w:pStyle w:val="ListParagraph"/>
        <w:spacing w:lineRule="auto" w:line="360" w:before="0" w:after="0"/>
        <w:contextualSpacing/>
        <w:rPr/>
      </w:pPr>
      <w:r>
        <w:rPr/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acabamento de portas e portões, obedecendo rigorosamente às normas da ABNT, às boas práticas construtivas e às recomendações dos fabricantes dos materiais empregados. O objetivo é assegurar funcionalidade, resistência, durabilidade, estética e acessibilidade, quando aplicável.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4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Portas em chapa de alumínio tipo veneziana (PA3 – 80 x 165 cm, PA4 – 70 x 165 cm, PA5 – 100 x 0,65 cm, PA6 – 110 x 210 cm): fornecimento e instalação das portas conforme dimensões e tipo indicado, incluindo guarnições e fixação com parafusos, pintura com tinta alquídica de acabamento (esmalte sintético brilhante) em duas demãos. As portas de banheiro (PA3 e PA4) deverão receber tarjetas tipo livre/ocupado. AS portas PA6 deverão ter soleiras em granito de 15 cm de largura por 2 cm de espessura deverão ser aplicadas conforme projeto.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portas e portões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4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prévia das aberturas, alinhamento e nivelamento;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Ajustes finos para garantir fechamento correto, estanqueidade e segurança;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com rodapés, revestimentos, vedações, paredes e demais elementos construtivos;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contra danos durante a execução de outros serviços;</w:t>
      </w:r>
    </w:p>
    <w:p>
      <w:pPr>
        <w:pStyle w:val="ListParagraph"/>
        <w:numPr>
          <w:ilvl w:val="0"/>
          <w:numId w:val="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acessibilidade, quando aplicável, e conformidade com normas de segurança e ergonomia.</w:t>
      </w:r>
    </w:p>
    <w:p>
      <w:pPr>
        <w:pStyle w:val="ListParagraph"/>
        <w:widowControl/>
        <w:numPr>
          <w:ilvl w:val="0"/>
          <w:numId w:val="0"/>
        </w:numPr>
        <w:suppressAutoHyphens w:val="false"/>
        <w:bidi w:val="0"/>
        <w:spacing w:lineRule="auto" w:line="360" w:before="0" w:after="0"/>
        <w:ind w:hanging="0" w:left="720"/>
        <w:contextualSpacing/>
        <w:jc w:val="left"/>
        <w:rPr>
          <w:rFonts w:ascii="Calibri" w:hAnsi="Calibri" w:eastAsia="Calibri" w:cs="" w:asciiTheme="minorHAnsi" w:cstheme="minorBidi" w:eastAsiaTheme="minorHAnsi" w:hAnsi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</w:pPr>
      <w:r>
        <w:rPr>
          <w:rFonts w:eastAsia="Calibri" w:cs="" w:cstheme="minorBidi" w:eastAsia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</w:r>
    </w:p>
    <w:p>
      <w:pPr>
        <w:pStyle w:val="ListParagraph"/>
        <w:widowControl/>
        <w:numPr>
          <w:ilvl w:val="0"/>
          <w:numId w:val="88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Calibri" w:cs="" w:asciiTheme="minorHAnsi" w:cstheme="minorBidi" w:eastAsiaTheme="minorHAnsi" w:hAnsi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</w:pPr>
      <w:r>
        <w:rPr>
          <w:rFonts w:eastAsia="Calibri" w:cs="" w:cstheme="minorBidi" w:eastAsiaTheme="minorHAnsi"/>
          <w:color w:val="auto"/>
          <w:kern w:val="2"/>
          <w:sz w:val="24"/>
          <w:szCs w:val="24"/>
          <w:u w:val="single"/>
          <w:lang w:val="pt-BR" w:eastAsia="en-US" w:bidi="ar-SA"/>
          <w14:ligatures w14:val="standardContextual"/>
        </w:rPr>
        <w:t>JANELAS: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acabamento de janelas, obedecendo rigorosamente às normas da ABNT, às boas práticas construtivas e às recomendações dos fabricantes dos materiais empregados. O objetivo é assegurar funcionalidade, resistência, durabilidade, estanqueidade, ventilação adequada, estética e acessibilidade, quando aplicável.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4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Janelas de alumínio tipo maximar (JA-02 – 120 x 60 cm): fornecimento e instalação de janelas de alumínio, incluindo vidros, batente e ferragens, conforme dimensões indicadas em projeto. As janelas deverão ser fornecidas com peitoris lineares em granito ou mármore, com largura de 15 cm e espessura de 2 cm, assentados com argamassa traço 1:6 com aditivo.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4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elevações e detalhes construtivos das portas e portões, indicando dimensões, tipos, cores, posição das guarnições, fechaduras, tarjas e barras de apoio;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todos os elementos de esquadria (madeira, alumínio, acessórios), métodos de instalação, fixação, pintura e acabamentos;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portas, janelas, portões, batentes, fechaduras, soleiras e demais materiais, compatibilizados com as vedações e estruturas;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portas e portões,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portas e portões em compatibilização com revestimentos, pisos, impermeabilizações, vedações e instalações prediais;</w:t>
      </w:r>
    </w:p>
    <w:p>
      <w:pPr>
        <w:pStyle w:val="ListParagraph"/>
        <w:numPr>
          <w:ilvl w:val="0"/>
          <w:numId w:val="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qualidade estética e funcionalidade das portas e portões.</w:t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0" w:name="_Toc211245244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5.14) PINTURAS</w:t>
      </w:r>
      <w:bookmarkEnd w:id="60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emassamento e pintura em tetos, paredes internas e externas, bem como pintura de pisos, obedecendo rigorosamente às normas da ABNT, às boas práticas construtivas e às recomendações dos fabricantes dos materiais empregados. O objetivo é assegurar uniformidade, acabamento estético, durabilidade, resistência e proteção das superfícies tratadas. Os serviços compreenderão, no mínimo, as seguintes etapas: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4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Emassamento em tetos: aplicação de massa látex em duas demãos, com lixamento manual entre camadas, garantindo superfícies regulares e prontas para receber pintura final.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Emassamento em paredes: aplicação de massa látex em duas demãos, com lixamento manual, assegurando aderência, nivelamento e preparo adequado para a pintura subsequente.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Pintura de tetos: aplicação manual de tinta látex acrílico premium em duas demãos, sobre superfícies previamente emassadas e lixadas, garantindo acabamento uniforme e cobertura total.</w:t>
      </w:r>
    </w:p>
    <w:p>
      <w:pPr>
        <w:pStyle w:val="ListParagraph"/>
        <w:numPr>
          <w:ilvl w:val="0"/>
          <w:numId w:val="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Pintura de paredes internas e externas: aplicação manual de tinta látex acrílico premium em duas demãos, nas cores branco gelo e cinza claro, sobre superfícies preparadas (paredes, pilares, cobogós e outros), garantindo durabilidade, resistência à lavagem e boa estética.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pintura deverão contemplar: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Preparo adequado das superfícies, proteção de elementos construtivos adjacentes, execução de cantos e arremates, tratamento de juntas e perfeita compatibilização com revestimentos, esquadrias, portas, janelas e demais sistemas construtivos.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elevações e detalhes construtivos indicando as áreas de aplicação da pintura, cores, tipos de tinta, número de demãos e acabamento.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produtos empregados, métodos de aplicação, preparo de superfícies e acabamentos.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massa, tinta e demais materiais compatibilizados com áreas de tetos, paredes e pisos.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pintura, quantificados e precificados com base em composições SINAPI/SICRO (ou outras bases oficiais aplicáveis).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pinturas em compatibilização com revestimentos, portas, janelas, pisos, vedações, impermeabilizações e demais etapas construtivas.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qualidade estética, funcionalidade e segurança das superfícies pintadas.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1" w:name="_Toc211245245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5.15) INSTALAÇÕES HIDRÁULICAS</w:t>
      </w:r>
      <w:bookmarkEnd w:id="61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testes das instalações hidráulicas, obedecendo rigorosamente às normas da ABNT, às boas práticas construtivas e às recomendações dos fabricantes dos materiais empregados. O objetivo é assegurar funcionalidade, estanqueidade, durabilidade, segurança e desempenho adequado do sistema de abastecimento de água fria.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Tubos e conexões em PVC soldável: fornecimento e instalação de tubos de 25 mm, 40 mm, 50 mm e 60 mm, aplicados em prumadas e ramais de água, incluindo todos os acessórios (luvas, buchas de redução curtas e longas, joelhos 45° e 90°, joelhos com bucha de latão, adaptadores com bolsa e rosca, adaptadores com flanges, tês e tês de redução), conforme dimensões, traçados e especificações de projeto.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Registros: fornecimento e instalação de registros e válvulas de esfera em PVC, registros de gaveta em latão (3/4”, 1.1/2” e 2.1/2”) e registros de pressão, incluindo acabamento cromado e canopla, quando aplicável;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Reservatórios prediais: fornecimento e instalação de caixa d’água em polietileno (1.000 L), incluindo todos os acessórios de fixação, conexões, vedação e ensaio de estanqueidade.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Dispositivos complementares: fornecimento e instalação de torneira de boia para caixas d’água (3/4”), incluindo ajuste de nível, regulagem e ensaio funcional.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instalações hidráulicas deverão contemplar:</w:t>
      </w:r>
    </w:p>
    <w:p>
      <w:pPr>
        <w:pStyle w:val="ListParagraph"/>
        <w:spacing w:lineRule="auto" w:line="360" w:before="0" w:after="0"/>
        <w:ind w:left="144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montagem;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Corte, lixamento, soldagem química e interligação de tubos e conexões;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estanqueidade e verificação de pressão conforme normas técnicas;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hidráulicas com estrutura, vedações, esquadrias, impermeabilizações e demais sistemas prediais;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tubulações e registros contra danos durante a execução de outros serviços;</w:t>
      </w:r>
    </w:p>
    <w:p>
      <w:pPr>
        <w:pStyle w:val="ListParagraph"/>
        <w:numPr>
          <w:ilvl w:val="0"/>
          <w:numId w:val="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Plantas, cortes, detalhes construtivos e esquemas isométricos das redes hidráulicas, indicando diâmetros, materiais, traçados, registros, caixas e reservatórios;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descritivo detalhado, com especificações técnicas de todos os tubos, conexões, registros e reservatórios, métodos de instalação, testes e ensaios;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Memorial de cálculo das quantidades de materiais hidráulicos (tubos, conexões, registros, reservatórios e acessórios), compatibilizados com a arquitetura e estrutura;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Planilha orçamentária com todos os serviços de instalações hidráulicas, quantificados e precificados com base em composições SINAPI/SICRO (ou outras bases oficiais aplicáveis);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/>
      </w:pPr>
      <w:r>
        <w:rPr>
          <w:rFonts w:eastAsia="" w:cs="Calibri" w:cstheme="minorHAnsi" w:eastAsiaTheme="majorEastAsia"/>
        </w:rPr>
        <w:t>Cronograma físico-financeiro prevendo a execução das instalações hidráulicas em compatibilização com fundações, estrutura, impermeabilizações, vedações, esquadrias e acabamentos;</w:t>
      </w:r>
    </w:p>
    <w:p>
      <w:pPr>
        <w:pStyle w:val="Normal"/>
        <w:numPr>
          <w:ilvl w:val="0"/>
          <w:numId w:val="60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estanqueidade, segurança, qualidade funcional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2" w:name="_Toc211245246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5.16) INSTALAÇÕES SANITÁRIAS</w:t>
      </w:r>
      <w:bookmarkEnd w:id="62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testes das instalações sanitárias, obedecendo rigorosamente às normas da ABNT, às boas práticas construtivas e às recomendações dos fabricantes dos materiais empregados. O objetivo é assegurar funcionalidade, estanqueidade, durabilidade, segurança e desempenho adequado do sistema de esgoto e águas pluviais.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Tubos e conexões em PVC: fornecimento e instalação de tubos de esgoto predial (DN 40, 50, 75mm, 100 mm e 150mm), aplicados em ramais, sub-ramais e prumadas, incluindo todos os acessórios necessários (joelhos 45° e 90°, tês, tês de redução, junções, curvas curtas e longas, reduções excêntricas e buchas de redução), conforme dimensões, traçados e especificações de projeto. Todas as uniões deverão contemplar juntas elásticas ou soldáveis, conforme a série do tubo e indicação do projeto.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Caixas sifonadas e caixas de inspeção: fornecimento e instalação de caixas sifonadas em PVC, com grelha redonda ou quadrada, incluindo caixas enterradas retangulares distribuidoras de vazão (sumidouros múltiplos), conforme dimensões e especificações do projeto.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Terminais de ventilação: fornecimento e instalação de terminais de ventilação em PVC para ramais de esgoto e prumadas de águas pluviais, incluindo adaptação de diâmetros e junções necessárias para o correto funcionamento da ventilação predial.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instalações sanitárias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montagem;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Corte, lixamento, interligação e colagem/soldagem química de tubos e conexões;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estanqueidade, teste de fluxo e verificação de escoamento conforme normas técnicas;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sanitárias com estrutura, vedações, revestimentos, impermeabilizações, esquadrias e demais sistemas prediais;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tubulações, caixas e conexões contra danos durante a execução de outros serviços;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 das redes sanitárias, indicando diâmetros, materiais, traçados, caixas sifonadas, caixas de inspeção e terminais de ventilação;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detalhado, com especificações técnicas de todos os tubos, conexões, caixas, grelhas e acessórios, métodos de instalação, testes e ensaios;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 sanitários (tubos, conexões, caixas, grelhas e acessórios), compatibilizados com a arquitetura e estrutura;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instalações sanitárias,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instalações sanitárias em compatibilização com fundações, estrutura, impermeabilizações, vedações, esquadrias e acabamentos;</w:t>
      </w:r>
    </w:p>
    <w:p>
      <w:pPr>
        <w:pStyle w:val="ListParagraph"/>
        <w:numPr>
          <w:ilvl w:val="0"/>
          <w:numId w:val="61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estanqueidade, segurança, qualidade funcional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3" w:name="_Toc211245247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5.17) COMPLEMENTOS HIDROSSANITÁRIOS</w:t>
      </w:r>
      <w:bookmarkEnd w:id="63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 e instalação dos complementos hidrossanitários, obedecendo rigorosamente às normas da ABNT, às boas práticas construtivas e às recomendações dos fabricantes dos materiais empregados. O objetivo é assegurar funcionalidade, durabilidade, segurança, acessibilidade e desempenho adequado de todos os dispositivos complementares nos vestiários, banheiros e áreas de apoio.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Bancos: fornecimento e instalação de bancos em alvenaria revestidos com cerâmica;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Bancadas, cubas e lavatórios: bancadas de granito para instalação de cubas, espessura de 2 cm, incluindo acabamento e fixação adequada, cubas de embutir em louça branca (35 x 50 cm), lavatórios para PCD, sifões flexíveis, engates flexíveis, torneiras cromadas de mesa com temporizador ou monocomando, válvulas e metal cromado e espelhos cristal com parafusos de fixação;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Vasos sanitários: fornecimento e instalação de vasos sanitários sifonados convencionais e acessórios complementares de fixação, regulagem e ensaio funcional, assentos convencionais ou para PCD, válvulas de descarga metálicas com duplo acionamento eco, sistemas de ligação ajustáveis para cadeirantes;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Divisórias e barras de apoio: fornecimento e instalação de divisórias sanitárias tipo cabine em granito polido (espessura 2 cm), assentadas com argamassa colante AC III-E;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Barras de apoio: fornecimento e instalação de barras de apoio em aço inox polido (40, 60, 70 e 80 cm), fixadas nas paredes conforme normas de acessibilidade.</w:t>
      </w:r>
    </w:p>
    <w:p>
      <w:pPr>
        <w:pStyle w:val="ListParagraph"/>
        <w:numPr>
          <w:ilvl w:val="0"/>
          <w:numId w:val="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Dispositivos complementares: fornecimento e instalação cabides metálicos para banheiro,  saboneteiras plásticas tipo dispenser, toalheiros tipo dispenser para papel-toalha interfolhado, papeleiras para papel higiênico em rolo, duchas/chuveiros elétricos ou metálicos com desviador,  ducha higiênica manual, sistemas de alarme PNE com indicador audiovisual para pessoas com mobilidade reduzida, e demais dispositivos de conforto e acessibilidade.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complementos hidrossanitários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6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fixação;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Verificação da compatibilidade e alinhamento com paredes, revestimentos e tubulações existentes;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Ajuste funcional e ensaio de operação de todos os dispositivos;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instalados contra danos durante a execução de outros serviços;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acessibilidade, segurança operacional e manutenção facilitada.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 indicando a localização de bancadas, cubas, vasos, mictórios, divisórias, barras de apoio e dispositivos complementares;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elementos, métodos de instalação, ensaios e testes de operação;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materiais, acessórios e dispositivos complementares, compatibilizados com a arquitetura, estrutura e normas de acessibilidade;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complementos hidrossanitários,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dos complementos em compatibilização com fundações, estrutura, vedações, revestimentos, esquadrias e acabamentos;</w:t>
      </w:r>
    </w:p>
    <w:p>
      <w:pPr>
        <w:pStyle w:val="ListParagraph"/>
        <w:numPr>
          <w:ilvl w:val="0"/>
          <w:numId w:val="63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funcionalidade, segurança, acessibilidade e atendimento às normas técnicas e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4" w:name="_Toc211245248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5.18) COLETA E DRENAGEM DE ÁGUAS PLUVIAIS</w:t>
      </w:r>
      <w:bookmarkEnd w:id="64"/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ensaio das instalações de coleta e drenagem de águas pluviais, obedecendo rigorosamente às normas da ABNT, às boas práticas construtivas e às recomendações dos fabricantes. O objetivo é garantir estanqueidade, durabilidade, desempenho hidráulico e segurança operacional do sistema de drenagem.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Tubulações e conexões: fornecimento e instalação de tubos em PVC série R para águas pluviais, com diâmetros de 100 mm, aplicados em condutores verticais, incluindo conexões como joelhos ou curvas de 45° e 90° com junta elástica, acessórios de fixação e interligações necessárias, conforme projeto.</w:t>
      </w:r>
    </w:p>
    <w:p>
      <w:pPr>
        <w:pStyle w:val="ListParagraph"/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drenagem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8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 e instalação;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Escavação, regularização de fundo, assentamento, envelopamento e reaterro de tubulações;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estanqueidade, verificação de declividade e funcionalidade da rede;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com fundações, estrutura, impermeabilizações e demais sistemas prediais;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tubulações e caixas contra danos durante a execução de outros serviços;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desempenho hidráulico adequado.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e esquemas isométricos indicando traçados, diâmetros, caixas, declividades e pontos de inspeção;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tubos, conexões e caixas, métodos de instalação, ensaios e testes;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 (tubos, conexões e caixas), compatibilizados com arquitetura, estrutura e demais disciplinas;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de coleta e drenagem pluvial,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instalações em compatibilização com fundações, estrutura, impermeabilizações, vedações e acabamentos;</w:t>
      </w:r>
    </w:p>
    <w:p>
      <w:pPr>
        <w:pStyle w:val="ListParagraph"/>
        <w:numPr>
          <w:ilvl w:val="0"/>
          <w:numId w:val="67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estanqueidade, funcionalidade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5" w:name="_Toc211245249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5.19) INSTALAÇÕES ELÉTRICAS</w:t>
      </w:r>
      <w:bookmarkEnd w:id="65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 e ensaios das instalações elétricas de baixa tensão, obedecendo rigorosamente às normas da ABNT (NBR 5410, NBR 5419, NBR 13570, entre outras), às boas práticas construtivas e às recomendações dos fabricantes. O objetivo é assegurar segurança, durabilidade, desempenho, funcionalidade e acessibilidade do sistema elétrico.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Quadro metálico em chapa de aço galvanizado, embutido, com barramento trifásico, capacidade para 24 disjuntores DIN até 100A, contendo: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1 disjuntor geral tripolar (125A);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5 disjuntores bipolares para os chuveiros (25A);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2 disjuntores monopolares para tomadas e iluminação(16A);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5 disjuntores monopolares para tomadas e iluminação (10A);</w:t>
      </w:r>
    </w:p>
    <w:p>
      <w:pPr>
        <w:pStyle w:val="ListParagraph"/>
        <w:spacing w:lineRule="auto" w:line="360" w:before="0" w:after="0"/>
        <w:ind w:left="216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2"/>
          <w:numId w:val="68"/>
        </w:numPr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Instalação de 4 dispositivos DPS Classe II, 1 polo, tensão máxima 175V, corrente máxima 20 kA (Tipo AC) para proteção dos quadros;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1 haste de aterramento em aço cobreado, 5/8", 3 m, conectada ao quadro.</w:t>
      </w:r>
    </w:p>
    <w:p>
      <w:pPr>
        <w:pStyle w:val="ListParagraph"/>
        <w:numPr>
          <w:ilvl w:val="2"/>
          <w:numId w:val="68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execução deverá seguir rigorosamente a ABNT NBR 5410 e demais normas aplicáveis, garantindo fornecimento de todos os materiais, equipamentos, ferramentas e mão de obra qualificada.</w:t>
      </w:r>
    </w:p>
    <w:p>
      <w:pPr>
        <w:pStyle w:val="ListParagraph"/>
        <w:widowControl/>
        <w:numPr>
          <w:ilvl w:val="0"/>
          <w:numId w:val="79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</w:pPr>
      <w:r>
        <w:rPr>
          <w:rFonts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  <w:t>Eletrodutos, caixas e cabeamento: Fornecimento e instalação de eletrodutos flexíveis corrugados reforçados em PVC para embutimento em lajes e paredes, com todos os acessórios de fixação e vedação. Execução de caixas de passagem e derivação em ferro estampado ou PVC (retangulares, octogonais e 4"x4"), instaladas em diferentes alturas conforme função (baixa, média ou alta).</w:t>
        <w:br/>
        <w:t>Fornecimento e lançamento de cabos de cobre flexível isolados, anti-chama 450/750 V, devidamente identificados e compatibilizados com os quadros, disjuntores e circuitos terminais.</w:t>
      </w:r>
    </w:p>
    <w:p>
      <w:pPr>
        <w:pStyle w:val="ListParagraph"/>
        <w:widowControl/>
        <w:numPr>
          <w:ilvl w:val="0"/>
          <w:numId w:val="79"/>
        </w:numPr>
        <w:suppressAutoHyphens w:val="false"/>
        <w:bidi w:val="0"/>
        <w:spacing w:lineRule="auto" w:line="360" w:before="0" w:after="0"/>
        <w:contextualSpacing/>
        <w:jc w:val="left"/>
        <w:rPr>
          <w:rFonts w:ascii="Calibri" w:hAnsi="Calibri"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</w:pPr>
      <w:r>
        <w:rPr>
          <w:rFonts w:eastAsia="" w:cs="Calibri" w:cstheme="minorHAnsi" w:eastAsiaTheme="majorEastAsia"/>
          <w:color w:val="auto"/>
          <w:kern w:val="2"/>
          <w:sz w:val="24"/>
          <w:szCs w:val="24"/>
          <w:lang w:val="pt-BR" w:eastAsia="en-US" w:bidi="ar-SA"/>
        </w:rPr>
        <w:t>Iluminação, tomadas e dispositivos: Fornecimento e instalação de pontos de iluminação interna, incluindo luminárias tipo plafon circular LED de sobrepor (12/13 W), além de blocos autônomos de iluminação de emergência com autonomia mínima de 3 h.</w:t>
        <w:br/>
        <w:t>Fornecimento e instalação de interruptores simples (1 módulo, 10 A/250 V) completos com suporte e placa, bem como tomadas 2P+T de 10 A/250 V, devidamente distribuídas e compatibilizadas com as necessidades de uso e mobiliário.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5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assentamento;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Lançamento, organização e fixação dos eletrodutos e cabos;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Conexões, derivações, cravações e interligações elétricas;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Identificação de circuitos e dispositivos de proteção;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Ensaios de continuidade, resistência de isolamento, funcionamento e desempenho luminotécnico;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das instalações elétricas com estrutura, arquitetura, hidráulica, climatização e demais sistemas prediais;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das instalações contra danos durante a execução de outros serviços;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fácil manutenção, acessibilidade e segurança operacional.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diagramas unifilares e esquemas elétricos atualizados, indicando traçados, cargas, circuitos, quadros e dispositivos de proteção;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materiais (quadros, disjuntores, DPS, eletrodutos, caixas, cabos, luminárias e tomadas), métodos de instalação e ensaios;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de demanda, dimensionamento de condutores e dispositivos de proteção, queda de tensão e curto-circuito, conforme normas aplicáveis;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Planilha orçamentária com todos os serviços elétricos,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das instalações elétricas em compatibilização com fundações, estrutura, vedações, impermeabilizações e acabamentos;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funcionalidade, segurança e atendimento às normas de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6" w:name="_Toc211245250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5.20) SISTEMA DE PROTEÇÃO CONTRA INCÊNDIO</w:t>
      </w:r>
      <w:bookmarkEnd w:id="66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fornecimento, montagem, instalação, ensaio e comissionamento do sistema de proteção contra incêndio, atendendo rigorosamente às normas da ABNT, às boas práticas construtivas, aos requisitos do Corpo de Bombeiros e às recomendações dos fabricantes. O objetivo é garantir segurança, funcionalidade, confiabilidade, durabilidade e desempenho adequado de todo o sistema de prevenção, detecção e combate a incêndio.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60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Iluminação de emergência e sinalização: fornecimento e instalação de luminárias de emergência LED, blocos autônomos de iluminação com autonomia mínima de 3 horas, fluxo luminoso entre 2.000 e 3.000 lúmens, equipados com faróis de sinalização e placas fotoluminescentes de PVC indicando rotas de evacuação e saídas de emergência, incluindo fixações e ensaios funcionais.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 sistema de proteção contra incêndio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61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Preparação e limpeza dos locais de instalação;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Testes de operação dos dispositivos de iluminação;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dos elementos instalados contra danos durante a execução de outros serviços;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acessibilidade, segurança operacional e manutenção facilitada.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ind w:left="36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Plantas, cortes, detalhes construtivos indicando localização de luminárias de emergência e placas de sinalização;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detalhado com especificações técnicas de todos os componentes, métodos de instalação, ensaios e testes;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 cálculo das quantidades de materiais compatibilizados com arquitetura, estrutura e normas de prevenção de incêndio;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Planilha orçamentária com todos os serviços do sistema de proteção contra incêndio, quantificados e precificados com base em composições SINAPI/SICRO (ou outras bases oficiais aplicáveis);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dos serviços em compatibilização com fundações, estrutura, vedações, revestimentos, esquadrias e acabamentos;</w:t>
      </w:r>
    </w:p>
    <w:p>
      <w:pPr>
        <w:pStyle w:val="ListParagraph"/>
        <w:numPr>
          <w:ilvl w:val="0"/>
          <w:numId w:val="65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engenharia, assegurando durabilidade, segurança, desempenho e atendimento às normas técnicas e de prevenção de incêndio.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val="auto"/>
          <w:sz w:val="24"/>
          <w:szCs w:val="24"/>
        </w:rPr>
      </w:pPr>
      <w:bookmarkStart w:id="67" w:name="_Toc211245251"/>
      <w:r>
        <w:rPr>
          <w:rStyle w:val="Ttulo2Char"/>
          <w:rFonts w:cs="Calibri" w:cstheme="minorHAnsi"/>
          <w:b/>
          <w:bCs/>
          <w:color w:val="auto"/>
          <w:sz w:val="24"/>
          <w:szCs w:val="24"/>
        </w:rPr>
        <w:t>5.21) SERVIÇOS COMPLEMENTARES E FINAIS</w:t>
      </w:r>
      <w:bookmarkEnd w:id="67"/>
    </w:p>
    <w:p>
      <w:pPr>
        <w:pStyle w:val="ListParagraph"/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b/>
          <w:bCs/>
          <w:color w:themeColor="accent1" w:themeShade="bf" w:val="auto"/>
          <w:sz w:val="24"/>
          <w:szCs w:val="24"/>
        </w:rPr>
      </w:pPr>
      <w:r>
        <w:rPr>
          <w:rFonts w:cs="Calibri" w:cstheme="minorHAnsi"/>
          <w:b/>
          <w:bCs/>
          <w:color w:themeColor="accent1" w:themeShade="bf" w:val="auto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executar todos os serviços de limpeza final da obra, abrangendo áreas internas e externas, obedecendo às normas de segurança, boas práticas de higiene e conservação, garantindo ambientes limpos, livres de resíduos de construção e prontos para uso. Os serviços compreenderão, no mínimo, as seguintes etapas: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62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Remoção de entulhos e resíduos: coleta, segregação e destinação adequada de restos de materiais de construção, embalagens, restos de tintas, colas e outros resíduos, conforme normas ambientais vigentes e legislação local;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Limpeza de superfícies: lavagem, aspiração e higienização de pisos, paredes, forros, vidros, portas, janelas e outras superfícies, utilizando produtos e equipamentos adequados para não danificar os acabamentos;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Limpeza de equipamentos e instalações: remoção de sujeiras, pó e resíduos de sistemas elétricos, hidráulicos, luminárias, ar-condicionado e demais equipamentos instalados, garantindo funcionamento correto e preservação;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Tratamento de áreas externas: varrição, lavagem e retirada de entulhos de áreas externas, calçadas, estacionamentos, rampas e jardins, garantindo segurança e estética do entorno;</w:t>
      </w:r>
    </w:p>
    <w:p>
      <w:pPr>
        <w:pStyle w:val="ListParagraph"/>
        <w:numPr>
          <w:ilvl w:val="0"/>
          <w:numId w:val="7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Serviços complementares: eliminação de manchas, resíduos de adesivos, graxas ou tintas, polimento de superfícies metálicas e vidros, desinfecção de sanitários e áreas comuns, assegurando entrega da obra em condições ideais de uso.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Todos os serviços deverão contemplar: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163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Planejamento e preparação dos locais de limpeza;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Proteção de materiais e acabamentos durante a execução da limpeza;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Coleta, transporte e destinação final de resíduos conforme legislação ambiental;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Compatibilização da limpeza com demais sistemas prediais e acabamentos;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Garantia de áreas acessíveis, seguras e prontas para utilização imediata;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Emissão de relatórios de serviços executados e registros de descarte de resíduos.</w:t>
      </w:r>
    </w:p>
    <w:p>
      <w:pPr>
        <w:pStyle w:val="ListParagraph"/>
        <w:spacing w:lineRule="auto" w:line="360" w:before="0" w:after="0"/>
        <w:ind w:left="108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A contratada deverá apresentar obrigatoriamente: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Plano detalhado de limpeza final da obra, com métodos, produtos e equipamentos a serem utilizados;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Memorial descritivo das etapas de limpeza, indicando responsabilidades e critérios de inspeção;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Cronograma físico-financeiro prevendo a execução da limpeza em compatibilização com entrega de áreas, conclusão de obras e acabamentos;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/>
      </w:pPr>
      <w:r>
        <w:rPr>
          <w:rFonts w:eastAsia="" w:cs="Calibri" w:cstheme="minorHAnsi" w:eastAsiaTheme="majorEastAsia"/>
        </w:rPr>
        <w:t>Relatórios de coleta, segregação e destinação final de resíduos, comprovando atendimento às normas ambientais;</w:t>
      </w:r>
    </w:p>
    <w:p>
      <w:pPr>
        <w:pStyle w:val="ListParagraph"/>
        <w:numPr>
          <w:ilvl w:val="0"/>
          <w:numId w:val="74"/>
        </w:numPr>
        <w:spacing w:lineRule="auto" w:line="360" w:before="0" w:after="0"/>
        <w:contextualSpacing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>Procedimentos de execução baseados em boas práticas de engenharia e conservação, garantindo segurança, qualidade e atendimento às normas de higiene e desempenho.</w:t>
      </w:r>
    </w:p>
    <w:p>
      <w:pPr>
        <w:pStyle w:val="Normal"/>
        <w:spacing w:lineRule="auto" w:line="360" w:before="0" w:after="0"/>
        <w:rPr>
          <w:rStyle w:val="Ttulo2Char"/>
          <w:rFonts w:ascii="Calibri" w:hAnsi="Calibri" w:cs="Calibri" w:asciiTheme="minorHAnsi" w:cstheme="minorHAnsi" w:hAnsiTheme="minorHAnsi"/>
          <w:color w:themeColor="accent1" w:themeShade="bf" w:val="auto"/>
          <w:sz w:val="24"/>
          <w:szCs w:val="24"/>
        </w:rPr>
      </w:pPr>
      <w:r>
        <w:rPr>
          <w:rFonts w:cs="Calibri" w:cstheme="minorHAnsi"/>
          <w:color w:themeColor="accent1" w:themeShade="bf" w:val="auto"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spacing w:lineRule="auto" w:line="360" w:before="0" w:after="0"/>
        <w:contextualSpacing/>
        <w:rPr>
          <w:rStyle w:val="Ttulo2Char"/>
          <w:rFonts w:ascii="Calibri" w:hAnsi="Calibri" w:cs="Calibri" w:asciiTheme="minorHAnsi" w:cstheme="minorHAnsi" w:hAnsiTheme="minorHAnsi"/>
          <w:color w:val="auto"/>
          <w:sz w:val="24"/>
          <w:szCs w:val="24"/>
        </w:rPr>
      </w:pPr>
      <w:bookmarkStart w:id="68" w:name="_Toc211245252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t>CONSIDERAÇÕES FINAIS</w:t>
      </w:r>
      <w:bookmarkEnd w:id="68"/>
      <w:r>
        <w:rPr>
          <w:rStyle w:val="Ttulo1Char"/>
          <w:rFonts w:cs="Calibri" w:cstheme="minorHAnsi"/>
          <w:b/>
          <w:bCs/>
          <w:color w:val="auto"/>
          <w:sz w:val="28"/>
          <w:szCs w:val="28"/>
        </w:rPr>
        <w:br/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  <w:b/>
          <w:bCs/>
        </w:rPr>
      </w:pPr>
      <w:r>
        <w:rPr>
          <w:rFonts w:eastAsia="" w:cs="Calibri" w:cstheme="minorHAnsi" w:eastAsiaTheme="majorEastAsia"/>
          <w:b/>
          <w:bCs/>
        </w:rPr>
        <w:t>Medição e Aceite dos Serviços</w:t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  <w:t xml:space="preserve">A medição dos serviços e a liberação dos pagamentos estarão condicionadas à </w:t>
      </w:r>
      <w:r>
        <w:rPr>
          <w:rFonts w:eastAsia="" w:cs="Calibri" w:cstheme="minorHAnsi" w:eastAsiaTheme="majorEastAsia"/>
          <w:b/>
          <w:bCs/>
        </w:rPr>
        <w:t>entrega, análise e aprovação</w:t>
      </w:r>
      <w:r>
        <w:rPr>
          <w:rFonts w:eastAsia="" w:cs="Calibri" w:cstheme="minorHAnsi" w:eastAsiaTheme="majorEastAsia"/>
        </w:rPr>
        <w:t xml:space="preserve"> pela Administração de cada etapa prevista no projeto executivo e na execução da obra.</w:t>
      </w:r>
    </w:p>
    <w:p>
      <w:pPr>
        <w:pStyle w:val="Normal"/>
        <w:numPr>
          <w:ilvl w:val="0"/>
          <w:numId w:val="22"/>
        </w:numPr>
        <w:spacing w:lineRule="auto" w:line="360" w:before="0" w:after="0"/>
        <w:rPr/>
      </w:pPr>
      <w:r>
        <w:rPr>
          <w:rFonts w:eastAsia="" w:cs="Calibri" w:cstheme="minorHAnsi" w:eastAsiaTheme="majorEastAsia"/>
          <w:b/>
          <w:bCs/>
        </w:rPr>
        <w:t>Projetos Executivos:</w:t>
      </w:r>
      <w:r>
        <w:rPr>
          <w:rFonts w:eastAsia="" w:cs="Calibri" w:cstheme="minorHAnsi" w:eastAsiaTheme="majorEastAsia"/>
        </w:rPr>
        <w:t xml:space="preserve"> somente serão aceitos após análise técnica da Administração e aprovação formal, sendo condição para a continuidade da execução dos serviços correspondentes.</w:t>
      </w:r>
    </w:p>
    <w:p>
      <w:pPr>
        <w:pStyle w:val="Normal"/>
        <w:numPr>
          <w:ilvl w:val="0"/>
          <w:numId w:val="22"/>
        </w:numPr>
        <w:spacing w:lineRule="auto" w:line="360" w:before="0" w:after="0"/>
        <w:rPr/>
      </w:pPr>
      <w:r>
        <w:rPr>
          <w:rFonts w:eastAsia="" w:cs="Calibri" w:cstheme="minorHAnsi" w:eastAsiaTheme="majorEastAsia"/>
          <w:b/>
          <w:bCs/>
        </w:rPr>
        <w:t>Execução dos Serviços:</w:t>
      </w:r>
      <w:r>
        <w:rPr>
          <w:rFonts w:eastAsia="" w:cs="Calibri" w:cstheme="minorHAnsi" w:eastAsiaTheme="majorEastAsia"/>
        </w:rPr>
        <w:t xml:space="preserve"> cada etapa só poderá ser medida após a comprovação da conformidade com os projetos executivos aprovados, especificações técnicas, normas vigentes e diretrizes deste Termo de Referência.</w:t>
      </w:r>
    </w:p>
    <w:p>
      <w:pPr>
        <w:pStyle w:val="Normal"/>
        <w:numPr>
          <w:ilvl w:val="0"/>
          <w:numId w:val="22"/>
        </w:numPr>
        <w:spacing w:lineRule="auto" w:line="360" w:before="0" w:after="0"/>
        <w:rPr/>
      </w:pPr>
      <w:r>
        <w:rPr>
          <w:rFonts w:eastAsia="" w:cs="Calibri" w:cstheme="minorHAnsi" w:eastAsiaTheme="majorEastAsia"/>
          <w:b/>
          <w:bCs/>
        </w:rPr>
        <w:t>Critério de Medição:</w:t>
      </w:r>
      <w:r>
        <w:rPr>
          <w:rFonts w:eastAsia="" w:cs="Calibri" w:cstheme="minorHAnsi" w:eastAsiaTheme="majorEastAsia"/>
        </w:rPr>
        <w:t xml:space="preserve"> as medições deverão estar vinculadas às etapas e marcos do cronograma físico-financeiro apresentado pela contratada e aprovado pela Administração.</w:t>
      </w:r>
    </w:p>
    <w:p>
      <w:pPr>
        <w:pStyle w:val="Normal"/>
        <w:numPr>
          <w:ilvl w:val="0"/>
          <w:numId w:val="22"/>
        </w:numPr>
        <w:spacing w:lineRule="auto" w:line="360" w:before="0" w:after="0"/>
        <w:rPr/>
      </w:pPr>
      <w:r>
        <w:rPr>
          <w:rFonts w:eastAsia="" w:cs="Calibri" w:cstheme="minorHAnsi" w:eastAsiaTheme="majorEastAsia"/>
          <w:b/>
          <w:bCs/>
        </w:rPr>
        <w:t>Aceite Final:</w:t>
      </w:r>
      <w:r>
        <w:rPr>
          <w:rFonts w:eastAsia="" w:cs="Calibri" w:cstheme="minorHAnsi" w:eastAsiaTheme="majorEastAsia"/>
        </w:rPr>
        <w:t xml:space="preserve"> a conclusão dos serviços dependerá da entrega integral da obra e do conjunto de projetos executivos, devidamente compatibilizados, acompanhados do As Built e manuais, sem os quais não será emitido o termo de recebimento definitivo.</w:t>
      </w:r>
    </w:p>
    <w:p>
      <w:pPr>
        <w:pStyle w:val="Normal"/>
        <w:numPr>
          <w:ilvl w:val="0"/>
          <w:numId w:val="22"/>
        </w:numPr>
        <w:spacing w:lineRule="auto" w:line="360" w:before="0" w:after="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  <w:b/>
          <w:bCs/>
        </w:rPr>
        <w:t>Pagamentos:</w:t>
      </w:r>
      <w:r>
        <w:rPr>
          <w:rFonts w:eastAsia="" w:cs="Calibri" w:cstheme="minorHAnsi" w:eastAsiaTheme="majorEastAsia"/>
        </w:rPr>
        <w:t xml:space="preserve"> somente serão efetuados após a aprovação formal das medições pela fiscalização da Administração.</w:t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auto" w:line="360" w:before="0" w:after="0"/>
        <w:ind w:left="720"/>
        <w:rPr>
          <w:rFonts w:eastAsia="" w:cs="Calibri" w:cstheme="minorHAnsi" w:eastAsiaTheme="majorEastAsia"/>
        </w:rPr>
      </w:pPr>
      <w:r>
        <w:rPr>
          <w:rFonts w:eastAsia="" w:cs="Calibri" w:cstheme="minorHAnsi" w:eastAsiaTheme="majorEastAsia"/>
        </w:rPr>
      </w:r>
    </w:p>
    <w:p>
      <w:pPr>
        <w:pStyle w:val="Normal"/>
        <w:spacing w:lineRule="exact" w:line="360" w:before="0" w:after="0"/>
        <w:ind w:firstLine="709"/>
        <w:jc w:val="right"/>
        <w:rPr/>
      </w:pPr>
      <w:r>
        <w:rPr>
          <w:b/>
          <w:bCs/>
        </w:rPr>
        <w:t xml:space="preserve">São João da Boa Vista, </w:t>
      </w:r>
      <w:r>
        <w:rPr>
          <w:b/>
          <w:bCs/>
        </w:rPr>
        <w:t>02 de março</w:t>
      </w:r>
      <w:r>
        <w:rPr>
          <w:b/>
          <w:bCs/>
        </w:rPr>
        <w:t xml:space="preserve"> de 2026.</w:t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701" w:right="1701" w:gutter="0" w:header="708" w:top="1417" w:footer="0" w:bottom="1417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exact" w:line="360" w:before="0" w:after="0"/>
        <w:jc w:val="center"/>
        <w:rPr/>
      </w:pPr>
      <w:r>
        <w:rPr/>
        <w:t>Peterson Garcia Zenun</w:t>
      </w:r>
    </w:p>
    <w:p>
      <w:pPr>
        <w:pStyle w:val="Normal"/>
        <w:spacing w:lineRule="exact" w:line="36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60" w:before="0" w:after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pStyle w:val="Normal"/>
        <w:spacing w:lineRule="exact" w:line="360" w:before="0" w:after="0"/>
        <w:jc w:val="center"/>
        <w:rPr/>
      </w:pPr>
      <w:r>
        <w:rPr/>
        <w:t>Júlio Luís de Almeida Lino</w:t>
      </w:r>
    </w:p>
    <w:p>
      <w:pPr>
        <w:pStyle w:val="Normal"/>
        <w:spacing w:lineRule="exact" w:line="36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60" w:before="0" w:after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pStyle w:val="Normal"/>
        <w:spacing w:lineRule="exact" w:line="360" w:before="0" w:after="0"/>
        <w:jc w:val="center"/>
        <w:rPr/>
      </w:pPr>
      <w:r>
        <w:rPr/>
        <w:t>Amarildo Duzi Moraes</w:t>
        <w:br/>
        <w:t>Diretor – Departamento de Gestão e Planejamento Urbano</w:t>
      </w:r>
    </w:p>
    <w:p>
      <w:pPr>
        <w:pStyle w:val="Normal"/>
        <w:spacing w:lineRule="exact" w:line="360" w:before="0" w:after="0"/>
        <w:jc w:val="center"/>
        <w:rPr/>
      </w:pPr>
      <w:r>
        <w:rPr/>
      </w:r>
    </w:p>
    <w:p>
      <w:pPr>
        <w:sectPr>
          <w:type w:val="continuous"/>
          <w:pgSz w:w="11906" w:h="16838"/>
          <w:pgMar w:left="1701" w:right="1701" w:gutter="0" w:header="708" w:top="1417" w:footer="0" w:bottom="1417"/>
          <w:cols w:num="3" w:space="282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suppressAutoHyphens w:val="false"/>
        <w:bidi w:val="0"/>
        <w:spacing w:lineRule="auto" w:line="278" w:before="0" w:after="160"/>
        <w:jc w:val="left"/>
        <w:rPr/>
      </w:pPr>
      <w:r>
        <w:rPr/>
      </w:r>
    </w:p>
    <w:sectPr>
      <w:type w:val="continuous"/>
      <w:pgSz w:w="11906" w:h="16838"/>
      <w:pgMar w:left="1701" w:right="1701" w:gutter="0" w:header="708" w:top="1417" w:footer="0" w:bottom="141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drawing>
        <wp:anchor behindDoc="1" distT="0" distB="0" distL="0" distR="0" simplePos="0" locked="0" layoutInCell="0" allowOverlap="1" relativeHeight="119">
          <wp:simplePos x="0" y="0"/>
          <wp:positionH relativeFrom="column">
            <wp:posOffset>-381000</wp:posOffset>
          </wp:positionH>
          <wp:positionV relativeFrom="paragraph">
            <wp:posOffset>-238125</wp:posOffset>
          </wp:positionV>
          <wp:extent cx="1080135" cy="1080135"/>
          <wp:effectExtent l="0" t="0" r="0" b="0"/>
          <wp:wrapSquare wrapText="right"/>
          <wp:docPr id="1" name="Figura1 Copia 1 Copia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 Copia 1 Copia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</w:rPr>
      <w:tab/>
      <w:t xml:space="preserve">          </w:t>
    </w:r>
    <w:r>
      <w:rPr>
        <w:rFonts w:ascii="Verdana" w:hAnsi="Verdana"/>
        <w:b/>
        <w:bCs/>
        <w:color w:val="818181"/>
        <w:sz w:val="32"/>
        <w:szCs w:val="32"/>
      </w:rPr>
      <w:t>Município de São João da Boa Vista</w:t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>
        <w:rFonts w:ascii="Verdana" w:hAnsi="Verdana"/>
        <w:color w:val="818181"/>
        <w:sz w:val="32"/>
        <w:szCs w:val="32"/>
      </w:rPr>
    </w:pPr>
    <w:r>
      <w:rPr>
        <w:rFonts w:ascii="Verdana" w:hAnsi="Verdana"/>
        <w:color w:val="818181"/>
        <w:sz w:val="32"/>
        <w:szCs w:val="32"/>
      </w:rPr>
      <w:tab/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rPr>
        <w:rFonts w:ascii="Verdana" w:hAnsi="Verdana"/>
        <w:color w:val="818181"/>
        <w:sz w:val="32"/>
        <w:szCs w:val="32"/>
      </w:rPr>
      <w:t xml:space="preserve">      </w:t>
    </w:r>
    <w:r>
      <w:rPr>
        <w:rFonts w:ascii="Verdana" w:hAnsi="Verdana"/>
        <w:color w:val="818181"/>
        <w:sz w:val="32"/>
        <w:szCs w:val="32"/>
      </w:rPr>
      <w:t>Departamento de Gestão e Planejamento</w:t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drawing>
        <wp:anchor behindDoc="1" distT="0" distB="0" distL="0" distR="0" simplePos="0" locked="0" layoutInCell="0" allowOverlap="1" relativeHeight="119">
          <wp:simplePos x="0" y="0"/>
          <wp:positionH relativeFrom="column">
            <wp:posOffset>-381000</wp:posOffset>
          </wp:positionH>
          <wp:positionV relativeFrom="paragraph">
            <wp:posOffset>-238125</wp:posOffset>
          </wp:positionV>
          <wp:extent cx="1080135" cy="1080135"/>
          <wp:effectExtent l="0" t="0" r="0" b="0"/>
          <wp:wrapSquare wrapText="right"/>
          <wp:docPr id="2" name="Figura1 Copia 1 Copia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 Copia 1 Copia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</w:rPr>
      <w:tab/>
      <w:t xml:space="preserve">          </w:t>
    </w:r>
    <w:r>
      <w:rPr>
        <w:rFonts w:ascii="Verdana" w:hAnsi="Verdana"/>
        <w:b/>
        <w:bCs/>
        <w:color w:val="818181"/>
        <w:sz w:val="32"/>
        <w:szCs w:val="32"/>
      </w:rPr>
      <w:t>Município de São João da Boa Vista</w:t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>
        <w:rFonts w:ascii="Verdana" w:hAnsi="Verdana"/>
        <w:color w:val="818181"/>
        <w:sz w:val="32"/>
        <w:szCs w:val="32"/>
      </w:rPr>
    </w:pPr>
    <w:r>
      <w:rPr>
        <w:rFonts w:ascii="Verdana" w:hAnsi="Verdana"/>
        <w:color w:val="818181"/>
        <w:sz w:val="32"/>
        <w:szCs w:val="32"/>
      </w:rPr>
      <w:tab/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rPr>
        <w:rFonts w:ascii="Verdana" w:hAnsi="Verdana"/>
        <w:color w:val="818181"/>
        <w:sz w:val="32"/>
        <w:szCs w:val="32"/>
      </w:rPr>
      <w:t xml:space="preserve">      </w:t>
    </w:r>
    <w:r>
      <w:rPr>
        <w:rFonts w:ascii="Verdana" w:hAnsi="Verdana"/>
        <w:color w:val="818181"/>
        <w:sz w:val="32"/>
        <w:szCs w:val="32"/>
      </w:rPr>
      <w:t>Departamento de Gestão e Planejamento</w:t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8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2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4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6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2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low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low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0"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2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3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3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4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5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6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7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8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9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0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1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2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3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5"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6"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upperRoman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upperRoman"/>
      <w:lvlText w:val="%3."/>
      <w:lvlJc w:val="left"/>
      <w:pPr>
        <w:tabs>
          <w:tab w:val="num" w:pos="0"/>
        </w:tabs>
        <w:ind w:left="2880" w:hanging="360"/>
      </w:pPr>
      <w:rPr/>
    </w:lvl>
    <w:lvl w:ilvl="3">
      <w:start w:val="1"/>
      <w:numFmt w:val="upperRoman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upperRoman"/>
      <w:lvlText w:val="%6."/>
      <w:lvlJc w:val="left"/>
      <w:pPr>
        <w:tabs>
          <w:tab w:val="num" w:pos="0"/>
        </w:tabs>
        <w:ind w:left="5040" w:hanging="360"/>
      </w:pPr>
      <w:rPr/>
    </w:lvl>
    <w:lvl w:ilvl="6">
      <w:start w:val="1"/>
      <w:numFmt w:val="upperRoman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upperRoman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upperRoman"/>
      <w:lvlText w:val="%9."/>
      <w:lvlJc w:val="left"/>
      <w:pPr>
        <w:tabs>
          <w:tab w:val="num" w:pos="0"/>
        </w:tabs>
        <w:ind w:left="7200" w:hanging="360"/>
      </w:pPr>
      <w:rPr/>
    </w:lvl>
  </w:abstractNum>
  <w:abstractNum w:abstractNumId="57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8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9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0"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1">
    <w:lvl w:ilvl="0">
      <w:start w:val="1"/>
      <w:numFmt w:val="low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4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6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8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0">
    <w:lvl w:ilvl="0">
      <w:start w:val="1"/>
      <w:numFmt w:val="low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0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rFonts w:eastAsiaTheme="majorEastAsia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2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3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4"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5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6"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8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9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0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8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84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85"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86"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"/>
      </w:pPr>
      <w:rPr/>
    </w:lvl>
  </w:abstractNum>
  <w:abstractNum w:abstractNumId="87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8"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"/>
      </w:pPr>
      <w:rPr/>
    </w:lvl>
  </w:abstractNum>
  <w:abstractNum w:abstractNumId="8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6"/>
    <w:lvlOverride w:ilvl="0">
      <w:startOverride w:val="1"/>
    </w:lvlOverride>
    <w:lvlOverride w:ilvl="1">
      <w:startOverride w:val="1"/>
    </w:lvlOverride>
  </w:num>
  <w:num w:numId="91">
    <w:abstractNumId w:val="20"/>
    <w:lvlOverride w:ilvl="0">
      <w:startOverride w:val="1"/>
    </w:lvlOverride>
    <w:lvlOverride w:ilvl="1">
      <w:startOverride w:val="1"/>
    </w:lvlOverride>
  </w:num>
  <w:num w:numId="92">
    <w:abstractNumId w:val="42"/>
    <w:lvlOverride w:ilvl="0">
      <w:startOverride w:val="1"/>
    </w:lvlOverride>
    <w:lvlOverride w:ilvl="1">
      <w:startOverride w:val="1"/>
    </w:lvlOverride>
  </w:num>
  <w:num w:numId="93">
    <w:abstractNumId w:val="23"/>
    <w:lvlOverride w:ilvl="0">
      <w:startOverride w:val="1"/>
    </w:lvlOverride>
  </w:num>
  <w:num w:numId="94">
    <w:abstractNumId w:val="24"/>
    <w:lvlOverride w:ilvl="0">
      <w:startOverride w:val="1"/>
    </w:lvlOverride>
  </w:num>
  <w:num w:numId="95">
    <w:abstractNumId w:val="23"/>
    <w:lvlOverride w:ilvl="0">
      <w:startOverride w:val="1"/>
    </w:lvlOverride>
  </w:num>
  <w:num w:numId="96">
    <w:abstractNumId w:val="24"/>
    <w:lvlOverride w:ilvl="0">
      <w:startOverride w:val="1"/>
    </w:lvlOverride>
  </w:num>
  <w:num w:numId="97">
    <w:abstractNumId w:val="23"/>
    <w:lvlOverride w:ilvl="0">
      <w:startOverride w:val="1"/>
    </w:lvlOverride>
  </w:num>
  <w:num w:numId="98">
    <w:abstractNumId w:val="24"/>
    <w:lvlOverride w:ilvl="0">
      <w:startOverride w:val="1"/>
    </w:lvlOverride>
  </w:num>
  <w:num w:numId="99">
    <w:abstractNumId w:val="23"/>
    <w:lvlOverride w:ilvl="0">
      <w:startOverride w:val="1"/>
    </w:lvlOverride>
  </w:num>
  <w:num w:numId="100">
    <w:abstractNumId w:val="24"/>
    <w:lvlOverride w:ilvl="0">
      <w:startOverride w:val="1"/>
    </w:lvlOverride>
  </w:num>
  <w:num w:numId="101">
    <w:abstractNumId w:val="46"/>
    <w:lvlOverride w:ilvl="0">
      <w:startOverride w:val="1"/>
    </w:lvlOverride>
  </w:num>
  <w:num w:numId="102">
    <w:abstractNumId w:val="47"/>
    <w:lvlOverride w:ilvl="0">
      <w:startOverride w:val="1"/>
    </w:lvlOverride>
  </w:num>
  <w:num w:numId="103">
    <w:abstractNumId w:val="50"/>
    <w:lvlOverride w:ilvl="0">
      <w:startOverride w:val="1"/>
    </w:lvlOverride>
  </w:num>
  <w:num w:numId="104">
    <w:abstractNumId w:val="50"/>
    <w:lvlOverride w:ilvl="0">
      <w:startOverride w:val="1"/>
    </w:lvlOverride>
  </w:num>
  <w:num w:numId="105">
    <w:abstractNumId w:val="51"/>
    <w:lvlOverride w:ilvl="0">
      <w:startOverride w:val="1"/>
    </w:lvlOverride>
  </w:num>
  <w:num w:numId="106">
    <w:abstractNumId w:val="53"/>
    <w:lvlOverride w:ilvl="0">
      <w:startOverride w:val="1"/>
    </w:lvlOverride>
  </w:num>
  <w:num w:numId="107">
    <w:abstractNumId w:val="52"/>
    <w:lvlOverride w:ilvl="0">
      <w:startOverride w:val="1"/>
    </w:lvlOverride>
  </w:num>
  <w:num w:numId="108">
    <w:abstractNumId w:val="54"/>
    <w:lvlOverride w:ilvl="0">
      <w:startOverride w:val="1"/>
    </w:lvlOverride>
  </w:num>
  <w:num w:numId="109">
    <w:abstractNumId w:val="56"/>
    <w:lvlOverride w:ilvl="0">
      <w:startOverride w:val="1"/>
    </w:lvlOverride>
  </w:num>
  <w:num w:numId="110">
    <w:abstractNumId w:val="57"/>
    <w:lvlOverride w:ilvl="0">
      <w:startOverride w:val="1"/>
    </w:lvlOverride>
  </w:num>
  <w:num w:numId="111">
    <w:abstractNumId w:val="58"/>
    <w:lvlOverride w:ilvl="0">
      <w:startOverride w:val="1"/>
    </w:lvlOverride>
  </w:num>
  <w:num w:numId="112">
    <w:abstractNumId w:val="59"/>
    <w:lvlOverride w:ilvl="0">
      <w:startOverride w:val="1"/>
    </w:lvlOverride>
  </w:num>
  <w:num w:numId="113">
    <w:abstractNumId w:val="60"/>
    <w:lvlOverride w:ilvl="0">
      <w:startOverride w:val="1"/>
    </w:lvlOverride>
  </w:num>
  <w:num w:numId="114">
    <w:abstractNumId w:val="60"/>
    <w:lvlOverride w:ilvl="0">
      <w:startOverride w:val="1"/>
    </w:lvlOverride>
  </w:num>
  <w:num w:numId="115">
    <w:abstractNumId w:val="61"/>
    <w:lvlOverride w:ilvl="0">
      <w:startOverride w:val="1"/>
    </w:lvlOverride>
  </w:num>
  <w:num w:numId="116">
    <w:abstractNumId w:val="64"/>
    <w:lvlOverride w:ilvl="0">
      <w:startOverride w:val="1"/>
    </w:lvlOverride>
  </w:num>
  <w:num w:numId="117">
    <w:abstractNumId w:val="65"/>
    <w:lvlOverride w:ilvl="0">
      <w:startOverride w:val="1"/>
    </w:lvlOverride>
  </w:num>
  <w:num w:numId="118">
    <w:abstractNumId w:val="68"/>
    <w:lvlOverride w:ilvl="0">
      <w:startOverride w:val="1"/>
    </w:lvlOverride>
  </w:num>
  <w:num w:numId="119">
    <w:abstractNumId w:val="69"/>
    <w:lvlOverride w:ilvl="0">
      <w:startOverride w:val="1"/>
    </w:lvlOverride>
  </w:num>
  <w:num w:numId="120">
    <w:abstractNumId w:val="70"/>
    <w:lvlOverride w:ilvl="0">
      <w:startOverride w:val="1"/>
    </w:lvlOverride>
  </w:num>
  <w:num w:numId="121">
    <w:abstractNumId w:val="73"/>
    <w:lvlOverride w:ilvl="0">
      <w:startOverride w:val="1"/>
    </w:lvlOverride>
  </w:num>
  <w:num w:numId="122">
    <w:abstractNumId w:val="74"/>
    <w:lvlOverride w:ilvl="0">
      <w:startOverride w:val="1"/>
    </w:lvlOverride>
  </w:num>
  <w:num w:numId="123">
    <w:abstractNumId w:val="42"/>
    <w:lvlOverride w:ilvl="0">
      <w:startOverride w:val="1"/>
    </w:lvlOverride>
    <w:lvlOverride w:ilvl="1">
      <w:startOverride w:val="1"/>
    </w:lvlOverride>
  </w:num>
  <w:num w:numId="124">
    <w:abstractNumId w:val="43"/>
    <w:lvlOverride w:ilvl="0">
      <w:startOverride w:val="1"/>
    </w:lvlOverride>
  </w:num>
  <w:num w:numId="125">
    <w:abstractNumId w:val="23"/>
    <w:lvlOverride w:ilvl="0">
      <w:startOverride w:val="1"/>
    </w:lvlOverride>
  </w:num>
  <w:num w:numId="126">
    <w:abstractNumId w:val="24"/>
    <w:lvlOverride w:ilvl="0">
      <w:startOverride w:val="1"/>
    </w:lvlOverride>
  </w:num>
  <w:num w:numId="127">
    <w:abstractNumId w:val="23"/>
    <w:lvlOverride w:ilvl="0">
      <w:startOverride w:val="1"/>
    </w:lvlOverride>
  </w:num>
  <w:num w:numId="128">
    <w:abstractNumId w:val="24"/>
    <w:lvlOverride w:ilvl="0">
      <w:startOverride w:val="1"/>
    </w:lvlOverride>
  </w:num>
  <w:num w:numId="129">
    <w:abstractNumId w:val="23"/>
    <w:lvlOverride w:ilvl="0">
      <w:startOverride w:val="1"/>
    </w:lvlOverride>
  </w:num>
  <w:num w:numId="130">
    <w:abstractNumId w:val="24"/>
    <w:lvlOverride w:ilvl="0">
      <w:startOverride w:val="1"/>
    </w:lvlOverride>
  </w:num>
  <w:num w:numId="131">
    <w:abstractNumId w:val="23"/>
    <w:lvlOverride w:ilvl="0">
      <w:startOverride w:val="1"/>
    </w:lvlOverride>
  </w:num>
  <w:num w:numId="132">
    <w:abstractNumId w:val="24"/>
    <w:lvlOverride w:ilvl="0">
      <w:startOverride w:val="1"/>
    </w:lvlOverride>
  </w:num>
  <w:num w:numId="133">
    <w:abstractNumId w:val="25"/>
    <w:lvlOverride w:ilvl="0">
      <w:startOverride w:val="1"/>
    </w:lvlOverride>
  </w:num>
  <w:num w:numId="134">
    <w:abstractNumId w:val="24"/>
    <w:lvlOverride w:ilvl="0">
      <w:startOverride w:val="1"/>
    </w:lvlOverride>
  </w:num>
  <w:num w:numId="135">
    <w:abstractNumId w:val="44"/>
    <w:lvlOverride w:ilvl="0">
      <w:startOverride w:val="1"/>
    </w:lvlOverride>
  </w:num>
  <w:num w:numId="136">
    <w:abstractNumId w:val="45"/>
    <w:lvlOverride w:ilvl="0">
      <w:startOverride w:val="1"/>
    </w:lvlOverride>
  </w:num>
  <w:num w:numId="137">
    <w:abstractNumId w:val="46"/>
    <w:lvlOverride w:ilvl="0">
      <w:startOverride w:val="1"/>
    </w:lvlOverride>
  </w:num>
  <w:num w:numId="138">
    <w:abstractNumId w:val="47"/>
    <w:lvlOverride w:ilvl="0">
      <w:startOverride w:val="1"/>
    </w:lvlOverride>
  </w:num>
  <w:num w:numId="139">
    <w:abstractNumId w:val="48"/>
    <w:lvlOverride w:ilvl="0">
      <w:startOverride w:val="1"/>
    </w:lvlOverride>
  </w:num>
  <w:num w:numId="140">
    <w:abstractNumId w:val="49"/>
    <w:lvlOverride w:ilvl="0">
      <w:startOverride w:val="1"/>
    </w:lvlOverride>
  </w:num>
  <w:num w:numId="141">
    <w:abstractNumId w:val="50"/>
    <w:lvlOverride w:ilvl="0">
      <w:startOverride w:val="1"/>
    </w:lvlOverride>
  </w:num>
  <w:num w:numId="142">
    <w:abstractNumId w:val="51"/>
    <w:lvlOverride w:ilvl="0">
      <w:startOverride w:val="1"/>
    </w:lvlOverride>
  </w:num>
  <w:num w:numId="143">
    <w:abstractNumId w:val="53"/>
    <w:lvlOverride w:ilvl="0">
      <w:startOverride w:val="1"/>
    </w:lvlOverride>
  </w:num>
  <w:num w:numId="144">
    <w:abstractNumId w:val="52"/>
    <w:lvlOverride w:ilvl="0">
      <w:startOverride w:val="1"/>
    </w:lvlOverride>
  </w:num>
  <w:num w:numId="145">
    <w:abstractNumId w:val="54"/>
    <w:lvlOverride w:ilvl="0">
      <w:startOverride w:val="1"/>
    </w:lvlOverride>
  </w:num>
  <w:num w:numId="146">
    <w:abstractNumId w:val="56"/>
    <w:lvlOverride w:ilvl="0">
      <w:startOverride w:val="1"/>
    </w:lvlOverride>
  </w:num>
  <w:num w:numId="147">
    <w:abstractNumId w:val="57"/>
    <w:lvlOverride w:ilvl="0">
      <w:startOverride w:val="1"/>
    </w:lvlOverride>
  </w:num>
  <w:num w:numId="148">
    <w:abstractNumId w:val="58"/>
    <w:lvlOverride w:ilvl="0">
      <w:startOverride w:val="1"/>
    </w:lvlOverride>
  </w:num>
  <w:num w:numId="149">
    <w:abstractNumId w:val="59"/>
    <w:lvlOverride w:ilvl="0">
      <w:startOverride w:val="1"/>
    </w:lvlOverride>
  </w:num>
  <w:num w:numId="150">
    <w:abstractNumId w:val="60"/>
    <w:lvlOverride w:ilvl="0">
      <w:startOverride w:val="1"/>
    </w:lvlOverride>
  </w:num>
  <w:num w:numId="151">
    <w:abstractNumId w:val="60"/>
    <w:lvlOverride w:ilvl="0">
      <w:startOverride w:val="1"/>
    </w:lvlOverride>
  </w:num>
  <w:num w:numId="152">
    <w:abstractNumId w:val="60"/>
    <w:lvlOverride w:ilvl="0">
      <w:startOverride w:val="1"/>
    </w:lvlOverride>
  </w:num>
  <w:num w:numId="153">
    <w:abstractNumId w:val="61"/>
    <w:lvlOverride w:ilvl="0">
      <w:startOverride w:val="1"/>
    </w:lvlOverride>
  </w:num>
  <w:num w:numId="154">
    <w:abstractNumId w:val="61"/>
    <w:lvlOverride w:ilvl="0">
      <w:startOverride w:val="1"/>
    </w:lvlOverride>
  </w:num>
  <w:num w:numId="155">
    <w:abstractNumId w:val="62"/>
    <w:lvlOverride w:ilvl="0">
      <w:startOverride w:val="1"/>
    </w:lvlOverride>
  </w:num>
  <w:num w:numId="156">
    <w:abstractNumId w:val="63"/>
    <w:lvlOverride w:ilvl="0">
      <w:startOverride w:val="1"/>
    </w:lvlOverride>
  </w:num>
  <w:num w:numId="157">
    <w:abstractNumId w:val="66"/>
    <w:lvlOverride w:ilvl="0">
      <w:startOverride w:val="1"/>
    </w:lvlOverride>
  </w:num>
  <w:num w:numId="158">
    <w:abstractNumId w:val="67"/>
    <w:lvlOverride w:ilvl="0">
      <w:startOverride w:val="1"/>
    </w:lvlOverride>
  </w:num>
  <w:num w:numId="159">
    <w:abstractNumId w:val="69"/>
    <w:lvlOverride w:ilvl="0">
      <w:startOverride w:val="1"/>
    </w:lvlOverride>
  </w:num>
  <w:num w:numId="160">
    <w:abstractNumId w:val="64"/>
    <w:lvlOverride w:ilvl="0">
      <w:startOverride w:val="1"/>
    </w:lvlOverride>
  </w:num>
  <w:num w:numId="161">
    <w:abstractNumId w:val="65"/>
    <w:lvlOverride w:ilvl="0">
      <w:startOverride w:val="1"/>
    </w:lvlOverride>
  </w:num>
  <w:num w:numId="162">
    <w:abstractNumId w:val="73"/>
    <w:lvlOverride w:ilvl="0">
      <w:startOverride w:val="1"/>
    </w:lvlOverride>
  </w:num>
  <w:num w:numId="163">
    <w:abstractNumId w:val="7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589a"/>
    <w:pPr>
      <w:widowControl/>
      <w:suppressAutoHyphens w:val="fals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be7a0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unhideWhenUsed/>
    <w:qFormat/>
    <w:rsid w:val="00be7a0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be7a0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be7a0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be7a0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be7a0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be7a0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be7a0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be7a0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be7a0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qFormat/>
    <w:rsid w:val="00be7a0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qFormat/>
    <w:rsid w:val="00be7a0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be7a0c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be7a0c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be7a0c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be7a0c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be7a0c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be7a0c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be7a0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be7a0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be7a0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be7a0c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be7a0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be7a0c"/>
    <w:rPr>
      <w:b/>
      <w:bCs/>
      <w:smallCaps/>
      <w:color w:themeColor="accent1" w:themeShade="bf" w:val="2F5496"/>
      <w:spacing w:val="5"/>
    </w:rPr>
  </w:style>
  <w:style w:type="character" w:styleId="Hyperlink">
    <w:name w:val="Hyperlink"/>
    <w:basedOn w:val="DefaultParagraphFont"/>
    <w:uiPriority w:val="99"/>
    <w:unhideWhenUsed/>
    <w:rsid w:val="00d90069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d72ba"/>
    <w:rPr>
      <w:color w:val="605E5C"/>
      <w:shd w:fill="E1DFDD" w:val="clear"/>
    </w:rPr>
  </w:style>
  <w:style w:type="character" w:styleId="CabealhoChar" w:customStyle="1">
    <w:name w:val="Cabeçalho Char"/>
    <w:basedOn w:val="DefaultParagraphFont"/>
    <w:uiPriority w:val="99"/>
    <w:qFormat/>
    <w:rsid w:val="003100eb"/>
    <w:rPr/>
  </w:style>
  <w:style w:type="character" w:styleId="RodapChar" w:customStyle="1">
    <w:name w:val="Rodapé Char"/>
    <w:basedOn w:val="DefaultParagraphFont"/>
    <w:uiPriority w:val="99"/>
    <w:qFormat/>
    <w:rsid w:val="003100eb"/>
    <w:rPr/>
  </w:style>
  <w:style w:type="character" w:styleId="Vnculodendiceuser">
    <w:name w:val="Vínculo de índice (user)"/>
    <w:qFormat/>
    <w:rPr/>
  </w:style>
  <w:style w:type="character" w:styleId="Vnculodendice">
    <w:name w:val="Vínculo de índice"/>
    <w:qFormat/>
    <w:rPr/>
  </w:style>
  <w:style w:type="character" w:styleId="Smbolosdenumerao">
    <w:name w:val="Símbolos de numeração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tuloChar"/>
    <w:uiPriority w:val="10"/>
    <w:qFormat/>
    <w:rsid w:val="00be7a0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be7a0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be7a0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be7a0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be7a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6408c9"/>
    <w:pPr/>
    <w:rPr>
      <w:rFonts w:ascii="Times New Roman" w:hAnsi="Times New Roman" w:cs="Times New Roman"/>
    </w:rPr>
  </w:style>
  <w:style w:type="paragraph" w:styleId="IndexHeading">
    <w:name w:val="index heading"/>
    <w:basedOn w:val="Ttulouser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d90069"/>
    <w:pPr>
      <w:spacing w:lineRule="auto" w:line="259" w:before="240" w:after="0"/>
      <w:outlineLvl w:val="9"/>
    </w:pPr>
    <w:rPr>
      <w:kern w:val="0"/>
      <w:sz w:val="32"/>
      <w:szCs w:val="32"/>
      <w:lang w:eastAsia="pt-BR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d90069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d90069"/>
    <w:pPr>
      <w:spacing w:before="0" w:after="100"/>
      <w:ind w:left="240"/>
    </w:pPr>
    <w:rPr/>
  </w:style>
  <w:style w:type="paragraph" w:styleId="TOC3">
    <w:name w:val="toc 3"/>
    <w:basedOn w:val="Normal"/>
    <w:next w:val="Normal"/>
    <w:autoRedefine/>
    <w:uiPriority w:val="39"/>
    <w:unhideWhenUsed/>
    <w:rsid w:val="00a82e37"/>
    <w:pPr>
      <w:spacing w:before="0" w:after="100"/>
      <w:ind w:left="480"/>
    </w:pPr>
    <w:rPr/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3100e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3100e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52C1-A0CB-4E7C-B7D5-734D932A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3614</TotalTime>
  <Application>LibreOffice/25.2.7.2$Windows_X86_64 LibreOffice_project/5cbfd1ab6520636bb5f7b99185aa69bd7456825d</Application>
  <AppVersion>15.0000</AppVersion>
  <Pages>118</Pages>
  <Words>23943</Words>
  <Characters>150104</Characters>
  <CharactersWithSpaces>172013</CharactersWithSpaces>
  <Paragraphs>1234</Paragraphs>
  <Company>PerkedleApps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2025-09-10T17:45:00Z</dcterms:created>
  <dc:creator>Peterson Garcia Zenun</dc:creator>
  <dc:description/>
  <dc:language>pt-BR</dc:language>
  <cp:lastModifiedBy>Thiago Mistura</cp:lastModifiedBy>
  <cp:lastPrinted>2025-10-17T18:24:00Z</cp:lastPrinted>
  <dcterms:modified xsi:type="dcterms:W3CDTF">2026-03-02T15:29:29Z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